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510"/>
      </w:tblGrid>
      <w:tr w:rsidR="007B23FC" w:rsidTr="00421A4C">
        <w:tc>
          <w:tcPr>
            <w:tcW w:w="8510" w:type="dxa"/>
            <w:tcBorders>
              <w:bottom w:val="single" w:sz="18" w:space="0" w:color="auto"/>
            </w:tcBorders>
          </w:tcPr>
          <w:p w:rsidR="007B23FC" w:rsidRDefault="00432899" w:rsidP="00A53B0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1" layoutInCell="1" allowOverlap="1" wp14:anchorId="1FCD820C" wp14:editId="2A02C3CD">
                  <wp:simplePos x="0" y="0"/>
                  <wp:positionH relativeFrom="column">
                    <wp:posOffset>-85725</wp:posOffset>
                  </wp:positionH>
                  <wp:positionV relativeFrom="page">
                    <wp:posOffset>97155</wp:posOffset>
                  </wp:positionV>
                  <wp:extent cx="5406390" cy="869315"/>
                  <wp:effectExtent l="0" t="0" r="3810" b="6985"/>
                  <wp:wrapNone/>
                  <wp:docPr id="3" name="Picture 3" descr="Black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etterhead"/>
                          <pic:cNvPicPr>
                            <a:picLocks noChangeAspect="1" noChangeArrowheads="1"/>
                          </pic:cNvPicPr>
                        </pic:nvPicPr>
                        <pic:blipFill>
                          <a:blip r:embed="rId9">
                            <a:extLst>
                              <a:ext uri="{28A0092B-C50C-407E-A947-70E740481C1C}">
                                <a14:useLocalDpi xmlns:a14="http://schemas.microsoft.com/office/drawing/2010/main" val="0"/>
                              </a:ext>
                            </a:extLst>
                          </a:blip>
                          <a:srcRect l="29193"/>
                          <a:stretch>
                            <a:fillRect/>
                          </a:stretch>
                        </pic:blipFill>
                        <pic:spPr bwMode="auto">
                          <a:xfrm>
                            <a:off x="0" y="0"/>
                            <a:ext cx="54063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FC">
              <w:rPr>
                <w:rFonts w:ascii="Arial Black" w:hAnsi="Arial Black"/>
                <w:color w:val="999999"/>
                <w:sz w:val="36"/>
                <w:szCs w:val="36"/>
              </w:rPr>
              <w:t xml:space="preserve">     </w:t>
            </w:r>
          </w:p>
          <w:p w:rsidR="007B23FC" w:rsidRDefault="007B23FC" w:rsidP="00A53B04">
            <w:pPr>
              <w:pStyle w:val="Infotext"/>
              <w:rPr>
                <w:rFonts w:ascii="Arial Black" w:hAnsi="Arial Black"/>
                <w:color w:val="999999"/>
                <w:sz w:val="36"/>
                <w:szCs w:val="36"/>
              </w:rPr>
            </w:pPr>
          </w:p>
          <w:p w:rsidR="007B23FC" w:rsidRDefault="007B23FC" w:rsidP="00A53B04">
            <w:pPr>
              <w:pStyle w:val="Infotext"/>
              <w:rPr>
                <w:rFonts w:ascii="Arial Black" w:hAnsi="Arial Black"/>
                <w:color w:val="999999"/>
                <w:sz w:val="36"/>
                <w:szCs w:val="36"/>
              </w:rPr>
            </w:pPr>
          </w:p>
          <w:p w:rsidR="007B23FC" w:rsidRPr="007B23FC" w:rsidRDefault="007B23FC" w:rsidP="00A53B04">
            <w:pPr>
              <w:rPr>
                <w:rFonts w:ascii="Arial Black" w:hAnsi="Arial Black" w:cs="Arial"/>
                <w:szCs w:val="36"/>
              </w:rPr>
            </w:pPr>
          </w:p>
        </w:tc>
      </w:tr>
    </w:tbl>
    <w:p w:rsidR="004076C8" w:rsidRPr="0036201C" w:rsidRDefault="004076C8"/>
    <w:tbl>
      <w:tblPr>
        <w:tblW w:w="0" w:type="auto"/>
        <w:tblLayout w:type="fixed"/>
        <w:tblLook w:val="0000" w:firstRow="0" w:lastRow="0" w:firstColumn="0" w:lastColumn="0" w:noHBand="0" w:noVBand="0"/>
      </w:tblPr>
      <w:tblGrid>
        <w:gridCol w:w="3456"/>
        <w:gridCol w:w="5054"/>
      </w:tblGrid>
      <w:tr w:rsidR="00333FAA">
        <w:tc>
          <w:tcPr>
            <w:tcW w:w="3456" w:type="dxa"/>
            <w:tcBorders>
              <w:bottom w:val="single" w:sz="18" w:space="0" w:color="auto"/>
            </w:tcBorders>
          </w:tcPr>
          <w:p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rsidR="00333FAA" w:rsidRPr="005E3A10" w:rsidRDefault="00333FAA" w:rsidP="00A53B04">
            <w:pPr>
              <w:rPr>
                <w:rFonts w:ascii="Arial Black" w:hAnsi="Arial Black" w:cs="Arial"/>
                <w:szCs w:val="24"/>
              </w:rPr>
            </w:pPr>
          </w:p>
        </w:tc>
      </w:tr>
      <w:tr w:rsidR="00333FAA">
        <w:tc>
          <w:tcPr>
            <w:tcW w:w="3456" w:type="dxa"/>
            <w:tcBorders>
              <w:top w:val="single" w:sz="18" w:space="0" w:color="auto"/>
            </w:tcBorders>
          </w:tcPr>
          <w:p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rsidR="00333FAA" w:rsidRPr="00C13A5F" w:rsidRDefault="00333FAA" w:rsidP="00A53B04">
            <w:pPr>
              <w:pStyle w:val="Infotext"/>
              <w:rPr>
                <w:rFonts w:ascii="Arial Black" w:hAnsi="Arial Black" w:cs="Arial"/>
              </w:rPr>
            </w:pPr>
          </w:p>
        </w:tc>
        <w:tc>
          <w:tcPr>
            <w:tcW w:w="5054" w:type="dxa"/>
            <w:tcBorders>
              <w:top w:val="single" w:sz="18" w:space="0" w:color="auto"/>
            </w:tcBorders>
          </w:tcPr>
          <w:p w:rsidR="00333FAA" w:rsidRPr="005E3A10" w:rsidRDefault="00A81FAE" w:rsidP="00A81FAE">
            <w:pPr>
              <w:rPr>
                <w:rFonts w:cs="Arial"/>
                <w:szCs w:val="24"/>
              </w:rPr>
            </w:pPr>
            <w:r>
              <w:rPr>
                <w:rFonts w:cs="Arial"/>
                <w:szCs w:val="24"/>
              </w:rPr>
              <w:t>6</w:t>
            </w:r>
            <w:r w:rsidR="00105B2C">
              <w:rPr>
                <w:rFonts w:cs="Arial"/>
                <w:szCs w:val="24"/>
              </w:rPr>
              <w:t xml:space="preserve"> December 20</w:t>
            </w:r>
            <w:r w:rsidR="00C90DB3">
              <w:rPr>
                <w:rFonts w:cs="Arial"/>
                <w:szCs w:val="24"/>
              </w:rPr>
              <w:t>1</w:t>
            </w:r>
            <w:r>
              <w:rPr>
                <w:rFonts w:cs="Arial"/>
                <w:szCs w:val="24"/>
              </w:rPr>
              <w:t>8</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Subject:</w:t>
            </w:r>
          </w:p>
          <w:p w:rsidR="00333FAA" w:rsidRPr="00C13A5F" w:rsidRDefault="00333FAA" w:rsidP="00A53B04">
            <w:pPr>
              <w:pStyle w:val="Infotext"/>
              <w:rPr>
                <w:rFonts w:ascii="Arial Black" w:hAnsi="Arial Black"/>
              </w:rPr>
            </w:pPr>
          </w:p>
        </w:tc>
        <w:tc>
          <w:tcPr>
            <w:tcW w:w="5054" w:type="dxa"/>
          </w:tcPr>
          <w:p w:rsidR="00333FAA" w:rsidRPr="005E3A10" w:rsidRDefault="00105B2C" w:rsidP="00296AE6">
            <w:pPr>
              <w:rPr>
                <w:rFonts w:cs="Arial"/>
                <w:szCs w:val="24"/>
              </w:rPr>
            </w:pPr>
            <w:r>
              <w:rPr>
                <w:rFonts w:cs="Arial"/>
                <w:szCs w:val="24"/>
              </w:rPr>
              <w:t>Draft Capital Programme 201</w:t>
            </w:r>
            <w:r w:rsidR="00A81FAE">
              <w:rPr>
                <w:rFonts w:cs="Arial"/>
                <w:szCs w:val="24"/>
              </w:rPr>
              <w:t>9</w:t>
            </w:r>
            <w:r>
              <w:rPr>
                <w:rFonts w:cs="Arial"/>
                <w:szCs w:val="24"/>
              </w:rPr>
              <w:t>/</w:t>
            </w:r>
            <w:r w:rsidR="00A81FAE">
              <w:rPr>
                <w:rFonts w:cs="Arial"/>
                <w:szCs w:val="24"/>
              </w:rPr>
              <w:t>20</w:t>
            </w:r>
            <w:r>
              <w:rPr>
                <w:rFonts w:cs="Arial"/>
                <w:szCs w:val="24"/>
              </w:rPr>
              <w:t xml:space="preserve"> to 20</w:t>
            </w:r>
            <w:r w:rsidR="009D42A5">
              <w:rPr>
                <w:rFonts w:cs="Arial"/>
                <w:szCs w:val="24"/>
              </w:rPr>
              <w:t>2</w:t>
            </w:r>
            <w:r w:rsidR="00296AE6">
              <w:rPr>
                <w:rFonts w:cs="Arial"/>
                <w:szCs w:val="24"/>
              </w:rPr>
              <w:t>0</w:t>
            </w:r>
            <w:r>
              <w:rPr>
                <w:rFonts w:cs="Arial"/>
                <w:szCs w:val="24"/>
              </w:rPr>
              <w:t>/2</w:t>
            </w:r>
            <w:r w:rsidR="00296AE6">
              <w:rPr>
                <w:rFonts w:cs="Arial"/>
                <w:szCs w:val="24"/>
              </w:rPr>
              <w:t>1</w:t>
            </w:r>
          </w:p>
        </w:tc>
      </w:tr>
      <w:tr w:rsidR="00333FAA">
        <w:tc>
          <w:tcPr>
            <w:tcW w:w="3456" w:type="dxa"/>
          </w:tcPr>
          <w:p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rsidR="00333FAA" w:rsidRPr="00C13A5F" w:rsidRDefault="00333FAA" w:rsidP="00A53B04">
            <w:pPr>
              <w:pStyle w:val="Infotext"/>
              <w:rPr>
                <w:rFonts w:ascii="Arial Black" w:hAnsi="Arial Black" w:cs="Arial"/>
              </w:rPr>
            </w:pPr>
          </w:p>
        </w:tc>
        <w:tc>
          <w:tcPr>
            <w:tcW w:w="5054" w:type="dxa"/>
          </w:tcPr>
          <w:p w:rsidR="001C7E35" w:rsidRDefault="001C7E35" w:rsidP="001C7E35">
            <w:pPr>
              <w:pStyle w:val="Infotext"/>
              <w:rPr>
                <w:rFonts w:cs="Arial"/>
                <w:sz w:val="24"/>
                <w:szCs w:val="24"/>
              </w:rPr>
            </w:pPr>
            <w:r w:rsidRPr="005E3A10">
              <w:rPr>
                <w:rFonts w:cs="Arial"/>
                <w:sz w:val="24"/>
                <w:szCs w:val="24"/>
              </w:rPr>
              <w:t xml:space="preserve">Yes </w:t>
            </w:r>
          </w:p>
          <w:p w:rsidR="00105B2C" w:rsidRPr="005E3A10" w:rsidRDefault="00105B2C" w:rsidP="001C7E35">
            <w:pPr>
              <w:pStyle w:val="Infotext"/>
              <w:rPr>
                <w:rFonts w:cs="Arial"/>
                <w:sz w:val="24"/>
                <w:szCs w:val="24"/>
              </w:rPr>
            </w:pPr>
            <w:r>
              <w:rPr>
                <w:rFonts w:cs="Arial"/>
                <w:sz w:val="24"/>
                <w:szCs w:val="24"/>
              </w:rPr>
              <w:t>Involves expenditure in excess of £1m</w:t>
            </w:r>
          </w:p>
          <w:p w:rsidR="00333FAA" w:rsidRPr="005E3A10" w:rsidRDefault="00333FAA" w:rsidP="00105B2C">
            <w:pPr>
              <w:pStyle w:val="Infotext"/>
              <w:rPr>
                <w:rFonts w:cs="Arial"/>
                <w:szCs w:val="24"/>
              </w:rPr>
            </w:pP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rsidR="001C7E35" w:rsidRPr="00C13A5F" w:rsidRDefault="001C7E35" w:rsidP="00A53B04">
            <w:pPr>
              <w:pStyle w:val="Infotext"/>
              <w:rPr>
                <w:rFonts w:ascii="Arial Black" w:hAnsi="Arial Black" w:cs="Arial"/>
              </w:rPr>
            </w:pPr>
          </w:p>
        </w:tc>
        <w:tc>
          <w:tcPr>
            <w:tcW w:w="5054" w:type="dxa"/>
          </w:tcPr>
          <w:p w:rsidR="00105B2C" w:rsidRDefault="00105B2C" w:rsidP="00D835CF">
            <w:pPr>
              <w:pStyle w:val="Infotext"/>
              <w:rPr>
                <w:rFonts w:cs="Arial"/>
                <w:sz w:val="24"/>
                <w:szCs w:val="24"/>
              </w:rPr>
            </w:pPr>
            <w:r>
              <w:rPr>
                <w:rFonts w:cs="Arial"/>
                <w:sz w:val="24"/>
                <w:szCs w:val="24"/>
              </w:rPr>
              <w:t>Dawn Calvert, Director of Finance</w:t>
            </w:r>
          </w:p>
          <w:p w:rsidR="001C7E35" w:rsidRPr="005E3A10" w:rsidRDefault="001C7E35" w:rsidP="00105B2C">
            <w:pPr>
              <w:pStyle w:val="Infotext"/>
              <w:rPr>
                <w:rFonts w:cs="Arial"/>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Portfolio Holder:</w:t>
            </w:r>
          </w:p>
          <w:p w:rsidR="001C7E35" w:rsidRPr="00C13A5F" w:rsidRDefault="001C7E35" w:rsidP="00A53B04">
            <w:pPr>
              <w:pStyle w:val="BodyText"/>
              <w:rPr>
                <w:rFonts w:ascii="Arial Black" w:hAnsi="Arial Black"/>
              </w:rPr>
            </w:pPr>
          </w:p>
        </w:tc>
        <w:tc>
          <w:tcPr>
            <w:tcW w:w="5054" w:type="dxa"/>
          </w:tcPr>
          <w:p w:rsidR="001C7E35" w:rsidRPr="005E3A10" w:rsidRDefault="00105B2C" w:rsidP="005B5926">
            <w:pPr>
              <w:pStyle w:val="Infotext"/>
              <w:rPr>
                <w:rFonts w:cs="Arial"/>
                <w:color w:val="FF0000"/>
                <w:sz w:val="24"/>
                <w:szCs w:val="24"/>
              </w:rPr>
            </w:pPr>
            <w:r w:rsidRPr="00105B2C">
              <w:rPr>
                <w:rFonts w:cs="Arial"/>
                <w:sz w:val="24"/>
                <w:szCs w:val="24"/>
              </w:rPr>
              <w:t xml:space="preserve">Councillor </w:t>
            </w:r>
            <w:r w:rsidR="00461E22" w:rsidRPr="00461E22">
              <w:rPr>
                <w:rFonts w:cs="Arial"/>
                <w:sz w:val="24"/>
                <w:szCs w:val="24"/>
              </w:rPr>
              <w:t xml:space="preserve">Adam Swersky, Portfolio Holder for Finance and </w:t>
            </w:r>
            <w:r w:rsidR="005B5926">
              <w:rPr>
                <w:rFonts w:cs="Arial"/>
                <w:sz w:val="24"/>
                <w:szCs w:val="24"/>
              </w:rPr>
              <w:t>Resources</w:t>
            </w:r>
            <w:r w:rsidR="00461E22" w:rsidRPr="00461E22">
              <w:rPr>
                <w:rFonts w:cs="Arial"/>
                <w:sz w:val="24"/>
                <w:szCs w:val="24"/>
              </w:rPr>
              <w:t xml:space="preserve"> </w:t>
            </w: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Exempt:</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No</w:t>
            </w:r>
          </w:p>
          <w:p w:rsidR="001C7E35" w:rsidRPr="005E3A10" w:rsidRDefault="001C7E35" w:rsidP="00105B2C">
            <w:pPr>
              <w:pStyle w:val="Infotext"/>
              <w:rPr>
                <w:rFonts w:cs="Arial"/>
                <w:color w:val="FF0000"/>
                <w:sz w:val="24"/>
                <w:szCs w:val="24"/>
              </w:rPr>
            </w:pPr>
          </w:p>
        </w:tc>
      </w:tr>
      <w:tr w:rsidR="001C7E35">
        <w:tc>
          <w:tcPr>
            <w:tcW w:w="3456" w:type="dxa"/>
          </w:tcPr>
          <w:p w:rsidR="001C7E35" w:rsidRPr="00DB6C3D" w:rsidRDefault="001C7E35" w:rsidP="00DB6C3D">
            <w:pPr>
              <w:pStyle w:val="Infotext"/>
              <w:rPr>
                <w:rFonts w:ascii="Arial Black" w:hAnsi="Arial Black"/>
              </w:rPr>
            </w:pPr>
            <w:r w:rsidRPr="00DB6C3D">
              <w:rPr>
                <w:rFonts w:ascii="Arial Black" w:hAnsi="Arial Black"/>
              </w:rPr>
              <w:t>Decision subject to Call-in:</w:t>
            </w:r>
          </w:p>
          <w:p w:rsidR="001C7E35" w:rsidRPr="00C13A5F" w:rsidRDefault="001C7E35" w:rsidP="00A53B04">
            <w:pPr>
              <w:pStyle w:val="BodyText"/>
              <w:rPr>
                <w:rFonts w:ascii="Arial Black" w:hAnsi="Arial Black"/>
              </w:rPr>
            </w:pPr>
          </w:p>
        </w:tc>
        <w:tc>
          <w:tcPr>
            <w:tcW w:w="5054" w:type="dxa"/>
          </w:tcPr>
          <w:p w:rsidR="001C7E35" w:rsidRPr="005E3A10" w:rsidRDefault="001C7E35" w:rsidP="00D835CF">
            <w:pPr>
              <w:pStyle w:val="Infotext"/>
              <w:rPr>
                <w:rFonts w:cs="Arial"/>
                <w:sz w:val="24"/>
                <w:szCs w:val="24"/>
              </w:rPr>
            </w:pPr>
            <w:r w:rsidRPr="005E3A10">
              <w:rPr>
                <w:rFonts w:cs="Arial"/>
                <w:sz w:val="24"/>
                <w:szCs w:val="24"/>
              </w:rPr>
              <w:t xml:space="preserve">Yes </w:t>
            </w:r>
          </w:p>
          <w:p w:rsidR="00714BEE" w:rsidRPr="005E3A10" w:rsidRDefault="00714BEE" w:rsidP="00105B2C">
            <w:pPr>
              <w:rPr>
                <w:rFonts w:cs="Arial"/>
                <w:szCs w:val="24"/>
              </w:rPr>
            </w:pPr>
          </w:p>
        </w:tc>
      </w:tr>
      <w:tr w:rsidR="001C7E35">
        <w:tc>
          <w:tcPr>
            <w:tcW w:w="3456" w:type="dxa"/>
          </w:tcPr>
          <w:p w:rsidR="001C7E35" w:rsidRDefault="001C7E35" w:rsidP="00A53B04">
            <w:pPr>
              <w:pStyle w:val="Infotext"/>
              <w:rPr>
                <w:rFonts w:ascii="Arial Black" w:hAnsi="Arial Black" w:cs="Arial"/>
              </w:rPr>
            </w:pPr>
            <w:r>
              <w:rPr>
                <w:rFonts w:ascii="Arial Black" w:hAnsi="Arial Black" w:cs="Arial"/>
              </w:rPr>
              <w:t>Wards affected:</w:t>
            </w:r>
          </w:p>
          <w:p w:rsidR="001C7E35" w:rsidRPr="00C13A5F" w:rsidRDefault="001C7E35" w:rsidP="00A53B04">
            <w:pPr>
              <w:pStyle w:val="Infotext"/>
              <w:rPr>
                <w:rFonts w:ascii="Arial Black" w:hAnsi="Arial Black" w:cs="Arial"/>
              </w:rPr>
            </w:pPr>
          </w:p>
        </w:tc>
        <w:tc>
          <w:tcPr>
            <w:tcW w:w="5054" w:type="dxa"/>
          </w:tcPr>
          <w:p w:rsidR="001C7E35" w:rsidRPr="005E3A10" w:rsidRDefault="00105B2C" w:rsidP="00D835CF">
            <w:pPr>
              <w:rPr>
                <w:rFonts w:cs="Arial"/>
                <w:szCs w:val="24"/>
              </w:rPr>
            </w:pPr>
            <w:r>
              <w:rPr>
                <w:rFonts w:cs="Arial"/>
                <w:szCs w:val="24"/>
              </w:rPr>
              <w:t>All</w:t>
            </w:r>
          </w:p>
        </w:tc>
      </w:tr>
      <w:tr w:rsidR="001C7E35">
        <w:tc>
          <w:tcPr>
            <w:tcW w:w="3456" w:type="dxa"/>
          </w:tcPr>
          <w:p w:rsidR="001C7E35" w:rsidRPr="00C13A5F" w:rsidRDefault="001C7E35" w:rsidP="00A53B04">
            <w:pPr>
              <w:pStyle w:val="Infotext"/>
              <w:rPr>
                <w:rFonts w:ascii="Arial Black" w:hAnsi="Arial Black" w:cs="Arial"/>
              </w:rPr>
            </w:pPr>
            <w:r w:rsidRPr="00C13A5F">
              <w:rPr>
                <w:rFonts w:ascii="Arial Black" w:hAnsi="Arial Black" w:cs="Arial"/>
              </w:rPr>
              <w:t>Enclosures:</w:t>
            </w:r>
          </w:p>
          <w:p w:rsidR="001C7E35" w:rsidRPr="00C13A5F" w:rsidRDefault="001C7E35" w:rsidP="00A53B04">
            <w:pPr>
              <w:pStyle w:val="Infotext"/>
              <w:rPr>
                <w:rFonts w:ascii="Arial Black" w:hAnsi="Arial Black" w:cs="Arial"/>
              </w:rPr>
            </w:pPr>
          </w:p>
        </w:tc>
        <w:tc>
          <w:tcPr>
            <w:tcW w:w="5054" w:type="dxa"/>
          </w:tcPr>
          <w:p w:rsidR="00105B2C" w:rsidRDefault="00105B2C" w:rsidP="00105B2C">
            <w:pPr>
              <w:pStyle w:val="Infotext"/>
              <w:rPr>
                <w:rFonts w:cs="Arial"/>
                <w:sz w:val="24"/>
                <w:szCs w:val="24"/>
              </w:rPr>
            </w:pPr>
            <w:r w:rsidRPr="00105B2C">
              <w:rPr>
                <w:rFonts w:cs="Arial"/>
                <w:sz w:val="24"/>
                <w:szCs w:val="24"/>
              </w:rPr>
              <w:t>Appendix 1 – Draft</w:t>
            </w:r>
            <w:r w:rsidR="00461E22">
              <w:rPr>
                <w:rFonts w:cs="Arial"/>
                <w:sz w:val="24"/>
                <w:szCs w:val="24"/>
              </w:rPr>
              <w:t xml:space="preserve">  </w:t>
            </w:r>
            <w:r w:rsidR="002F7710">
              <w:rPr>
                <w:rFonts w:cs="Arial"/>
                <w:sz w:val="24"/>
                <w:szCs w:val="24"/>
              </w:rPr>
              <w:t>New p</w:t>
            </w:r>
            <w:r w:rsidR="00461E22">
              <w:rPr>
                <w:rFonts w:cs="Arial"/>
                <w:sz w:val="24"/>
                <w:szCs w:val="24"/>
              </w:rPr>
              <w:t>ropos</w:t>
            </w:r>
            <w:r w:rsidR="002F7710">
              <w:rPr>
                <w:rFonts w:cs="Arial"/>
                <w:sz w:val="24"/>
                <w:szCs w:val="24"/>
              </w:rPr>
              <w:t>als</w:t>
            </w:r>
            <w:r w:rsidR="00461E22">
              <w:rPr>
                <w:rFonts w:cs="Arial"/>
                <w:sz w:val="24"/>
                <w:szCs w:val="24"/>
              </w:rPr>
              <w:t xml:space="preserve"> </w:t>
            </w:r>
            <w:r w:rsidR="002F7710">
              <w:rPr>
                <w:rFonts w:cs="Arial"/>
                <w:sz w:val="24"/>
                <w:szCs w:val="24"/>
              </w:rPr>
              <w:t xml:space="preserve">for </w:t>
            </w:r>
            <w:r w:rsidR="00E23647">
              <w:rPr>
                <w:rFonts w:cs="Arial"/>
                <w:sz w:val="24"/>
                <w:szCs w:val="24"/>
              </w:rPr>
              <w:t xml:space="preserve"> </w:t>
            </w:r>
            <w:r w:rsidR="00461E22">
              <w:rPr>
                <w:rFonts w:cs="Arial"/>
                <w:sz w:val="24"/>
                <w:szCs w:val="24"/>
              </w:rPr>
              <w:t>Capital</w:t>
            </w:r>
            <w:r w:rsidRPr="00105B2C">
              <w:rPr>
                <w:rFonts w:cs="Arial"/>
                <w:sz w:val="24"/>
                <w:szCs w:val="24"/>
              </w:rPr>
              <w:t xml:space="preserve"> Programme</w:t>
            </w:r>
            <w:r w:rsidR="00E23647">
              <w:rPr>
                <w:rFonts w:cs="Arial"/>
                <w:sz w:val="24"/>
                <w:szCs w:val="24"/>
              </w:rPr>
              <w:t xml:space="preserve"> 201</w:t>
            </w:r>
            <w:r w:rsidR="00A81FAE">
              <w:rPr>
                <w:rFonts w:cs="Arial"/>
                <w:sz w:val="24"/>
                <w:szCs w:val="24"/>
              </w:rPr>
              <w:t>9</w:t>
            </w:r>
            <w:r w:rsidR="00E23647">
              <w:rPr>
                <w:rFonts w:cs="Arial"/>
                <w:sz w:val="24"/>
                <w:szCs w:val="24"/>
              </w:rPr>
              <w:t>/</w:t>
            </w:r>
            <w:r w:rsidR="00A81FAE">
              <w:rPr>
                <w:rFonts w:cs="Arial"/>
                <w:sz w:val="24"/>
                <w:szCs w:val="24"/>
              </w:rPr>
              <w:t>20</w:t>
            </w:r>
            <w:r w:rsidR="00E23647">
              <w:rPr>
                <w:rFonts w:cs="Arial"/>
                <w:sz w:val="24"/>
                <w:szCs w:val="24"/>
              </w:rPr>
              <w:t xml:space="preserve"> to 20</w:t>
            </w:r>
            <w:r w:rsidR="009D42A5">
              <w:rPr>
                <w:rFonts w:cs="Arial"/>
                <w:sz w:val="24"/>
                <w:szCs w:val="24"/>
              </w:rPr>
              <w:t>2</w:t>
            </w:r>
            <w:r w:rsidR="00096764">
              <w:rPr>
                <w:rFonts w:cs="Arial"/>
                <w:sz w:val="24"/>
                <w:szCs w:val="24"/>
              </w:rPr>
              <w:t>0</w:t>
            </w:r>
            <w:r w:rsidR="00E23647">
              <w:rPr>
                <w:rFonts w:cs="Arial"/>
                <w:sz w:val="24"/>
                <w:szCs w:val="24"/>
              </w:rPr>
              <w:t>/2</w:t>
            </w:r>
            <w:r w:rsidR="00096764">
              <w:rPr>
                <w:rFonts w:cs="Arial"/>
                <w:sz w:val="24"/>
                <w:szCs w:val="24"/>
              </w:rPr>
              <w:t>1</w:t>
            </w:r>
          </w:p>
          <w:p w:rsidR="002F7710" w:rsidRDefault="002F7710" w:rsidP="00105B2C">
            <w:pPr>
              <w:pStyle w:val="Infotext"/>
              <w:rPr>
                <w:rFonts w:cs="Arial"/>
                <w:sz w:val="24"/>
                <w:szCs w:val="24"/>
              </w:rPr>
            </w:pPr>
          </w:p>
          <w:p w:rsidR="002F7710" w:rsidRDefault="002F7710" w:rsidP="00105B2C">
            <w:pPr>
              <w:pStyle w:val="Infotext"/>
              <w:rPr>
                <w:rFonts w:cs="Arial"/>
                <w:sz w:val="24"/>
                <w:szCs w:val="24"/>
              </w:rPr>
            </w:pPr>
            <w:r>
              <w:rPr>
                <w:rFonts w:cs="Arial"/>
                <w:sz w:val="24"/>
                <w:szCs w:val="24"/>
              </w:rPr>
              <w:t xml:space="preserve">Appendix 2 – </w:t>
            </w:r>
            <w:r w:rsidR="00EA216C">
              <w:rPr>
                <w:rFonts w:cs="Arial"/>
                <w:sz w:val="24"/>
                <w:szCs w:val="24"/>
              </w:rPr>
              <w:t xml:space="preserve">Existing </w:t>
            </w:r>
            <w:r>
              <w:rPr>
                <w:rFonts w:cs="Arial"/>
                <w:sz w:val="24"/>
                <w:szCs w:val="24"/>
              </w:rPr>
              <w:t xml:space="preserve"> Capital Programme for </w:t>
            </w:r>
            <w:r w:rsidRPr="00CA7F5A">
              <w:rPr>
                <w:rFonts w:cs="Arial"/>
                <w:sz w:val="24"/>
                <w:szCs w:val="24"/>
              </w:rPr>
              <w:t>201</w:t>
            </w:r>
            <w:r w:rsidR="00F36169" w:rsidRPr="00CA7F5A">
              <w:rPr>
                <w:rFonts w:cs="Arial"/>
                <w:sz w:val="24"/>
                <w:szCs w:val="24"/>
              </w:rPr>
              <w:t>8</w:t>
            </w:r>
            <w:r w:rsidRPr="00CA7F5A">
              <w:rPr>
                <w:rFonts w:cs="Arial"/>
                <w:sz w:val="24"/>
                <w:szCs w:val="24"/>
              </w:rPr>
              <w:t>/</w:t>
            </w:r>
            <w:r w:rsidR="00F36169" w:rsidRPr="00CA7F5A">
              <w:rPr>
                <w:rFonts w:cs="Arial"/>
                <w:sz w:val="24"/>
                <w:szCs w:val="24"/>
              </w:rPr>
              <w:t>19</w:t>
            </w:r>
            <w:r w:rsidRPr="00CA7F5A">
              <w:rPr>
                <w:rFonts w:cs="Arial"/>
                <w:sz w:val="24"/>
                <w:szCs w:val="24"/>
              </w:rPr>
              <w:t xml:space="preserve"> to</w:t>
            </w:r>
            <w:r>
              <w:rPr>
                <w:rFonts w:cs="Arial"/>
                <w:sz w:val="24"/>
                <w:szCs w:val="24"/>
              </w:rPr>
              <w:t xml:space="preserve"> 2020/21</w:t>
            </w:r>
          </w:p>
          <w:p w:rsidR="00E23647" w:rsidRPr="00105B2C" w:rsidRDefault="00E23647" w:rsidP="00105B2C">
            <w:pPr>
              <w:pStyle w:val="Infotext"/>
              <w:rPr>
                <w:rFonts w:cs="Arial"/>
                <w:sz w:val="24"/>
                <w:szCs w:val="24"/>
              </w:rPr>
            </w:pPr>
          </w:p>
          <w:p w:rsidR="005B32A5" w:rsidRDefault="005B32A5" w:rsidP="00105B2C">
            <w:pPr>
              <w:pStyle w:val="Infotext"/>
              <w:rPr>
                <w:rFonts w:cs="Arial"/>
                <w:sz w:val="24"/>
                <w:szCs w:val="24"/>
              </w:rPr>
            </w:pPr>
          </w:p>
          <w:p w:rsidR="005B32A5" w:rsidRDefault="005B32A5" w:rsidP="00105B2C">
            <w:pPr>
              <w:pStyle w:val="Infotext"/>
              <w:rPr>
                <w:rFonts w:cs="Arial"/>
                <w:sz w:val="24"/>
                <w:szCs w:val="24"/>
              </w:rPr>
            </w:pPr>
          </w:p>
          <w:p w:rsidR="00D27997" w:rsidRPr="005E3A10" w:rsidRDefault="00D27997" w:rsidP="00105B2C">
            <w:pPr>
              <w:pStyle w:val="Infotext"/>
              <w:rPr>
                <w:color w:val="FF0000"/>
                <w:sz w:val="24"/>
                <w:szCs w:val="24"/>
              </w:rPr>
            </w:pPr>
          </w:p>
        </w:tc>
      </w:tr>
    </w:tbl>
    <w:p w:rsidR="00333FAA" w:rsidRDefault="00333FAA"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B57442" w:rsidRDefault="00B57442" w:rsidP="00333FAA">
      <w:pPr>
        <w:rPr>
          <w:rFonts w:cs="Arial"/>
        </w:rPr>
      </w:pPr>
    </w:p>
    <w:p w:rsidR="004076C8" w:rsidRDefault="004076C8" w:rsidP="00333FA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33FAA">
        <w:tc>
          <w:tcPr>
            <w:tcW w:w="8525" w:type="dxa"/>
            <w:tcBorders>
              <w:top w:val="nil"/>
              <w:left w:val="nil"/>
              <w:right w:val="nil"/>
            </w:tcBorders>
          </w:tcPr>
          <w:p w:rsidR="00333FAA" w:rsidRDefault="00333FAA" w:rsidP="00A53B04">
            <w:pPr>
              <w:pStyle w:val="Heading1"/>
            </w:pPr>
            <w:r>
              <w:t>Section 1 – Summary and Recommendations</w:t>
            </w:r>
          </w:p>
          <w:p w:rsidR="00333FAA" w:rsidRDefault="00333FAA" w:rsidP="00A53B04"/>
        </w:tc>
      </w:tr>
      <w:tr w:rsidR="00333FAA">
        <w:tc>
          <w:tcPr>
            <w:tcW w:w="8525" w:type="dxa"/>
          </w:tcPr>
          <w:p w:rsidR="00333FAA" w:rsidRDefault="00333FAA" w:rsidP="00A53B04"/>
          <w:p w:rsidR="00105B2C" w:rsidRPr="00C3471E" w:rsidRDefault="00105B2C" w:rsidP="00105B2C">
            <w:pPr>
              <w:rPr>
                <w:i/>
                <w:color w:val="1F497D" w:themeColor="text2"/>
              </w:rPr>
            </w:pPr>
            <w:r w:rsidRPr="00830C10">
              <w:rPr>
                <w:rFonts w:cs="Arial"/>
                <w:szCs w:val="24"/>
              </w:rPr>
              <w:t xml:space="preserve">This report sets out the </w:t>
            </w:r>
            <w:r w:rsidR="00B57442">
              <w:rPr>
                <w:rFonts w:cs="Arial"/>
                <w:szCs w:val="24"/>
              </w:rPr>
              <w:t xml:space="preserve">new </w:t>
            </w:r>
            <w:r w:rsidR="009D4BC8">
              <w:rPr>
                <w:rFonts w:cs="Arial"/>
                <w:szCs w:val="24"/>
              </w:rPr>
              <w:t xml:space="preserve">draft </w:t>
            </w:r>
            <w:r w:rsidR="005B32A5">
              <w:rPr>
                <w:rFonts w:cs="Arial"/>
                <w:szCs w:val="24"/>
              </w:rPr>
              <w:t xml:space="preserve">General Fund </w:t>
            </w:r>
            <w:r w:rsidR="00B57442">
              <w:rPr>
                <w:rFonts w:cs="Arial"/>
                <w:szCs w:val="24"/>
              </w:rPr>
              <w:t xml:space="preserve">capital </w:t>
            </w:r>
            <w:r w:rsidR="00845E35">
              <w:rPr>
                <w:rFonts w:cs="Arial"/>
                <w:szCs w:val="24"/>
              </w:rPr>
              <w:t xml:space="preserve">programme </w:t>
            </w:r>
            <w:r w:rsidR="00F70007">
              <w:rPr>
                <w:rFonts w:cs="Arial"/>
                <w:szCs w:val="24"/>
              </w:rPr>
              <w:t xml:space="preserve">proposals </w:t>
            </w:r>
            <w:r w:rsidR="00845E35">
              <w:rPr>
                <w:rFonts w:cs="Arial"/>
                <w:szCs w:val="24"/>
              </w:rPr>
              <w:t>which</w:t>
            </w:r>
            <w:r w:rsidR="00B57442">
              <w:rPr>
                <w:rFonts w:cs="Arial"/>
                <w:szCs w:val="24"/>
              </w:rPr>
              <w:t xml:space="preserve"> have been proposed as part of the </w:t>
            </w:r>
            <w:r w:rsidR="00DE6A36">
              <w:rPr>
                <w:rFonts w:cs="Arial"/>
                <w:szCs w:val="24"/>
              </w:rPr>
              <w:t>201</w:t>
            </w:r>
            <w:r w:rsidR="00A81FAE">
              <w:rPr>
                <w:rFonts w:cs="Arial"/>
                <w:szCs w:val="24"/>
              </w:rPr>
              <w:t>9</w:t>
            </w:r>
            <w:r w:rsidR="00DE6A36">
              <w:rPr>
                <w:rFonts w:cs="Arial"/>
                <w:szCs w:val="24"/>
              </w:rPr>
              <w:t>/</w:t>
            </w:r>
            <w:r w:rsidR="00A81FAE">
              <w:rPr>
                <w:rFonts w:cs="Arial"/>
                <w:szCs w:val="24"/>
              </w:rPr>
              <w:t>20</w:t>
            </w:r>
            <w:r w:rsidR="00DE6A36">
              <w:rPr>
                <w:rFonts w:cs="Arial"/>
                <w:szCs w:val="24"/>
              </w:rPr>
              <w:t xml:space="preserve"> budget process</w:t>
            </w:r>
            <w:r w:rsidR="00B57442">
              <w:rPr>
                <w:rFonts w:cs="Arial"/>
                <w:szCs w:val="24"/>
              </w:rPr>
              <w:t xml:space="preserve"> and also sets out budgets </w:t>
            </w:r>
            <w:r w:rsidR="007F4BDA">
              <w:rPr>
                <w:rFonts w:cs="Arial"/>
                <w:szCs w:val="24"/>
              </w:rPr>
              <w:t xml:space="preserve">within the existing Capital Programme </w:t>
            </w:r>
            <w:r w:rsidR="00B57442" w:rsidRPr="00A53B9F">
              <w:rPr>
                <w:rFonts w:cs="Arial"/>
                <w:szCs w:val="24"/>
              </w:rPr>
              <w:t>between 20</w:t>
            </w:r>
            <w:r w:rsidR="00845E35" w:rsidRPr="00A53B9F">
              <w:rPr>
                <w:rFonts w:cs="Arial"/>
                <w:szCs w:val="24"/>
              </w:rPr>
              <w:t>1</w:t>
            </w:r>
            <w:r w:rsidR="007F1122" w:rsidRPr="00CA7F5A">
              <w:rPr>
                <w:rFonts w:cs="Arial"/>
                <w:szCs w:val="24"/>
              </w:rPr>
              <w:t>8</w:t>
            </w:r>
            <w:r w:rsidR="00B57442" w:rsidRPr="00CA7F5A">
              <w:rPr>
                <w:rFonts w:cs="Arial"/>
                <w:szCs w:val="24"/>
              </w:rPr>
              <w:t>/</w:t>
            </w:r>
            <w:r w:rsidR="007F1122" w:rsidRPr="00CA7F5A">
              <w:rPr>
                <w:rFonts w:cs="Arial"/>
                <w:szCs w:val="24"/>
              </w:rPr>
              <w:t>19</w:t>
            </w:r>
            <w:r w:rsidR="00B57442">
              <w:rPr>
                <w:rFonts w:cs="Arial"/>
                <w:szCs w:val="24"/>
              </w:rPr>
              <w:t xml:space="preserve"> and 20</w:t>
            </w:r>
            <w:r w:rsidR="00A81FAE">
              <w:rPr>
                <w:rFonts w:cs="Arial"/>
                <w:szCs w:val="24"/>
              </w:rPr>
              <w:t>20</w:t>
            </w:r>
            <w:r w:rsidR="00B57442">
              <w:rPr>
                <w:rFonts w:cs="Arial"/>
                <w:szCs w:val="24"/>
              </w:rPr>
              <w:t>/2</w:t>
            </w:r>
            <w:r w:rsidR="00A81FAE">
              <w:rPr>
                <w:rFonts w:cs="Arial"/>
                <w:szCs w:val="24"/>
              </w:rPr>
              <w:t>1</w:t>
            </w:r>
            <w:r w:rsidR="00B74BEB">
              <w:rPr>
                <w:rFonts w:cs="Arial"/>
                <w:szCs w:val="24"/>
              </w:rPr>
              <w:t xml:space="preserve"> and requests agreement to the principle of</w:t>
            </w:r>
            <w:r w:rsidR="006503B0">
              <w:rPr>
                <w:rFonts w:cs="Arial"/>
                <w:szCs w:val="24"/>
              </w:rPr>
              <w:t xml:space="preserve"> reviewing the Capital Programme</w:t>
            </w:r>
            <w:r w:rsidR="00A53B9F">
              <w:rPr>
                <w:rFonts w:cs="Arial"/>
                <w:szCs w:val="24"/>
              </w:rPr>
              <w:t xml:space="preserve"> for the periods 2019/20 to 2020/21</w:t>
            </w:r>
            <w:r w:rsidR="006503B0">
              <w:rPr>
                <w:rFonts w:cs="Arial"/>
                <w:szCs w:val="24"/>
              </w:rPr>
              <w:t>.</w:t>
            </w:r>
          </w:p>
          <w:p w:rsidR="00105B2C" w:rsidRPr="00830C10" w:rsidRDefault="00105B2C" w:rsidP="00105B2C">
            <w:pPr>
              <w:pStyle w:val="Heading2"/>
            </w:pPr>
          </w:p>
          <w:p w:rsidR="00105B2C" w:rsidRPr="00830C10" w:rsidRDefault="00105B2C" w:rsidP="00105B2C">
            <w:pPr>
              <w:pStyle w:val="Heading2"/>
            </w:pPr>
            <w:r w:rsidRPr="00830C10">
              <w:t xml:space="preserve">Recommendations: </w:t>
            </w:r>
          </w:p>
          <w:p w:rsidR="00845E35" w:rsidRDefault="00105B2C" w:rsidP="00C64714">
            <w:pPr>
              <w:pStyle w:val="ListParagraph"/>
              <w:numPr>
                <w:ilvl w:val="0"/>
                <w:numId w:val="38"/>
              </w:numPr>
              <w:rPr>
                <w:rFonts w:cs="Arial"/>
                <w:szCs w:val="24"/>
              </w:rPr>
            </w:pPr>
            <w:r w:rsidRPr="00830C10">
              <w:t>Cabinet is requested to</w:t>
            </w:r>
            <w:r w:rsidRPr="009D4BC8">
              <w:rPr>
                <w:rFonts w:cs="Arial"/>
                <w:szCs w:val="24"/>
              </w:rPr>
              <w:t xml:space="preserve"> </w:t>
            </w:r>
            <w:r w:rsidR="009D4BC8">
              <w:rPr>
                <w:rFonts w:cs="Arial"/>
                <w:szCs w:val="24"/>
              </w:rPr>
              <w:t xml:space="preserve">note </w:t>
            </w:r>
            <w:r w:rsidRPr="009D4BC8">
              <w:rPr>
                <w:rFonts w:cs="Arial"/>
                <w:szCs w:val="24"/>
              </w:rPr>
              <w:t xml:space="preserve">the </w:t>
            </w:r>
            <w:r w:rsidR="00B57442" w:rsidRPr="009D4BC8">
              <w:rPr>
                <w:rFonts w:cs="Arial"/>
                <w:szCs w:val="24"/>
              </w:rPr>
              <w:t xml:space="preserve">new </w:t>
            </w:r>
            <w:r w:rsidRPr="009D4BC8">
              <w:rPr>
                <w:rFonts w:cs="Arial"/>
                <w:szCs w:val="24"/>
              </w:rPr>
              <w:t>draft capital pro</w:t>
            </w:r>
            <w:r w:rsidR="00B57442" w:rsidRPr="009D4BC8">
              <w:rPr>
                <w:rFonts w:cs="Arial"/>
                <w:szCs w:val="24"/>
              </w:rPr>
              <w:t>posals</w:t>
            </w:r>
            <w:r w:rsidRPr="009D4BC8">
              <w:rPr>
                <w:rFonts w:cs="Arial"/>
                <w:szCs w:val="24"/>
              </w:rPr>
              <w:t xml:space="preserve">, as detailed within Appendix </w:t>
            </w:r>
            <w:r w:rsidR="00B57442" w:rsidRPr="009D4BC8">
              <w:rPr>
                <w:rFonts w:cs="Arial"/>
                <w:szCs w:val="24"/>
              </w:rPr>
              <w:t>1</w:t>
            </w:r>
            <w:r w:rsidR="005B5926">
              <w:rPr>
                <w:rFonts w:cs="Arial"/>
                <w:szCs w:val="24"/>
              </w:rPr>
              <w:t>,</w:t>
            </w:r>
            <w:r w:rsidR="000D2FDD">
              <w:rPr>
                <w:rFonts w:cs="Arial"/>
                <w:szCs w:val="24"/>
              </w:rPr>
              <w:t xml:space="preserve"> </w:t>
            </w:r>
            <w:r w:rsidR="009D4BC8">
              <w:rPr>
                <w:rFonts w:cs="Arial"/>
                <w:szCs w:val="24"/>
              </w:rPr>
              <w:t>which will be brought back to Cabinet in February for approval</w:t>
            </w:r>
            <w:r w:rsidR="003856CD">
              <w:rPr>
                <w:rFonts w:cs="Arial"/>
                <w:szCs w:val="24"/>
              </w:rPr>
              <w:t>.</w:t>
            </w:r>
          </w:p>
          <w:p w:rsidR="00EB0149" w:rsidRDefault="00EB0149" w:rsidP="00A26B10">
            <w:pPr>
              <w:pStyle w:val="ListParagraph"/>
              <w:rPr>
                <w:rFonts w:cs="Arial"/>
                <w:szCs w:val="24"/>
              </w:rPr>
            </w:pPr>
          </w:p>
          <w:p w:rsidR="002F7710" w:rsidRDefault="002F7710" w:rsidP="00C64714">
            <w:pPr>
              <w:pStyle w:val="ListParagraph"/>
              <w:numPr>
                <w:ilvl w:val="0"/>
                <w:numId w:val="38"/>
              </w:numPr>
              <w:rPr>
                <w:rFonts w:cs="Arial"/>
                <w:szCs w:val="24"/>
              </w:rPr>
            </w:pPr>
            <w:r>
              <w:rPr>
                <w:rFonts w:cs="Arial"/>
                <w:szCs w:val="24"/>
              </w:rPr>
              <w:t xml:space="preserve">Cabinet is requested to note the existing Capital programme for </w:t>
            </w:r>
            <w:r w:rsidRPr="00A53B9F">
              <w:rPr>
                <w:rFonts w:cs="Arial"/>
                <w:szCs w:val="24"/>
              </w:rPr>
              <w:t>201</w:t>
            </w:r>
            <w:r w:rsidR="007F1122" w:rsidRPr="00A53B9F">
              <w:rPr>
                <w:rFonts w:cs="Arial"/>
                <w:szCs w:val="24"/>
              </w:rPr>
              <w:t>8</w:t>
            </w:r>
            <w:r w:rsidRPr="00A53B9F">
              <w:rPr>
                <w:rFonts w:cs="Arial"/>
                <w:szCs w:val="24"/>
              </w:rPr>
              <w:t>/</w:t>
            </w:r>
            <w:r w:rsidR="007F1122" w:rsidRPr="00A53B9F">
              <w:rPr>
                <w:rFonts w:cs="Arial"/>
                <w:szCs w:val="24"/>
              </w:rPr>
              <w:t>19</w:t>
            </w:r>
            <w:r w:rsidR="007F1122">
              <w:rPr>
                <w:rFonts w:cs="Arial"/>
                <w:szCs w:val="24"/>
              </w:rPr>
              <w:t xml:space="preserve"> to 2020/21</w:t>
            </w:r>
            <w:r w:rsidR="005B5926">
              <w:rPr>
                <w:rFonts w:cs="Arial"/>
                <w:szCs w:val="24"/>
              </w:rPr>
              <w:t>,</w:t>
            </w:r>
            <w:r w:rsidR="007F1122">
              <w:rPr>
                <w:rFonts w:cs="Arial"/>
                <w:szCs w:val="24"/>
              </w:rPr>
              <w:t xml:space="preserve"> within Appendix 2, with 2019/20 and 2020/21 </w:t>
            </w:r>
            <w:r w:rsidR="006716D2">
              <w:rPr>
                <w:rFonts w:cs="Arial"/>
                <w:szCs w:val="24"/>
              </w:rPr>
              <w:t>being brought</w:t>
            </w:r>
            <w:r>
              <w:rPr>
                <w:rFonts w:cs="Arial"/>
                <w:szCs w:val="24"/>
              </w:rPr>
              <w:t xml:space="preserve"> back to Cabinet in February for approval.</w:t>
            </w:r>
          </w:p>
          <w:p w:rsidR="00EB0149" w:rsidRDefault="00EB0149" w:rsidP="00A26B10">
            <w:pPr>
              <w:pStyle w:val="ListParagraph"/>
              <w:rPr>
                <w:rFonts w:cs="Arial"/>
                <w:szCs w:val="24"/>
              </w:rPr>
            </w:pPr>
          </w:p>
          <w:p w:rsidR="002F7710" w:rsidRDefault="002F7710" w:rsidP="00C64714">
            <w:pPr>
              <w:pStyle w:val="ListParagraph"/>
              <w:numPr>
                <w:ilvl w:val="0"/>
                <w:numId w:val="38"/>
              </w:numPr>
              <w:rPr>
                <w:rFonts w:cs="Arial"/>
                <w:szCs w:val="24"/>
              </w:rPr>
            </w:pPr>
            <w:r>
              <w:rPr>
                <w:rFonts w:cs="Arial"/>
                <w:szCs w:val="24"/>
              </w:rPr>
              <w:t xml:space="preserve">Cabinet is asked to agree </w:t>
            </w:r>
            <w:r w:rsidR="00B74BEB">
              <w:rPr>
                <w:rFonts w:cs="Arial"/>
                <w:szCs w:val="24"/>
              </w:rPr>
              <w:t xml:space="preserve">that the existing Capital Programme </w:t>
            </w:r>
            <w:r w:rsidR="00A53B9F">
              <w:rPr>
                <w:rFonts w:cs="Arial"/>
                <w:szCs w:val="24"/>
              </w:rPr>
              <w:t xml:space="preserve">for 2019/20 to 2020/21 </w:t>
            </w:r>
            <w:r w:rsidR="00B74BEB">
              <w:rPr>
                <w:rFonts w:cs="Arial"/>
                <w:szCs w:val="24"/>
              </w:rPr>
              <w:t xml:space="preserve">and new proposals for the Capital Programme </w:t>
            </w:r>
            <w:r w:rsidR="00A53B9F">
              <w:rPr>
                <w:rFonts w:cs="Arial"/>
                <w:szCs w:val="24"/>
              </w:rPr>
              <w:t xml:space="preserve">(Appendix 1) </w:t>
            </w:r>
            <w:r w:rsidR="00B74BEB">
              <w:rPr>
                <w:rFonts w:cs="Arial"/>
                <w:szCs w:val="24"/>
              </w:rPr>
              <w:t>are reviewed in line with the principles set out in paragraph 1</w:t>
            </w:r>
            <w:r w:rsidR="00FE40AF">
              <w:rPr>
                <w:rFonts w:cs="Arial"/>
                <w:szCs w:val="24"/>
              </w:rPr>
              <w:t>8</w:t>
            </w:r>
            <w:r w:rsidR="00B74BEB">
              <w:rPr>
                <w:rFonts w:cs="Arial"/>
                <w:szCs w:val="24"/>
              </w:rPr>
              <w:t>.</w:t>
            </w:r>
          </w:p>
          <w:p w:rsidR="006503B0" w:rsidRPr="00FE40AF" w:rsidRDefault="006503B0" w:rsidP="00A26B10">
            <w:pPr>
              <w:pStyle w:val="ListParagraph"/>
              <w:rPr>
                <w:rFonts w:cs="Arial"/>
                <w:szCs w:val="24"/>
              </w:rPr>
            </w:pPr>
          </w:p>
          <w:p w:rsidR="006503B0" w:rsidRPr="00A53B9F" w:rsidRDefault="006503B0" w:rsidP="00C64714">
            <w:pPr>
              <w:pStyle w:val="ListParagraph"/>
              <w:numPr>
                <w:ilvl w:val="0"/>
                <w:numId w:val="38"/>
              </w:numPr>
              <w:rPr>
                <w:rFonts w:cs="Arial"/>
                <w:szCs w:val="24"/>
              </w:rPr>
            </w:pPr>
            <w:r w:rsidRPr="00FE40AF">
              <w:rPr>
                <w:rFonts w:cs="Arial"/>
                <w:szCs w:val="24"/>
              </w:rPr>
              <w:t>Cabinet is asked to agree that CIL fund</w:t>
            </w:r>
            <w:r w:rsidRPr="003005D7">
              <w:rPr>
                <w:rFonts w:cs="Arial"/>
                <w:szCs w:val="24"/>
              </w:rPr>
              <w:t xml:space="preserve">ing should be </w:t>
            </w:r>
            <w:r w:rsidR="003005D7" w:rsidRPr="00A26B10">
              <w:rPr>
                <w:rFonts w:cs="Arial"/>
                <w:szCs w:val="24"/>
              </w:rPr>
              <w:t xml:space="preserve">applied firstly to schemes in the existing capital programme as set out in paragraph </w:t>
            </w:r>
            <w:r w:rsidR="003005D7" w:rsidRPr="00A53B9F">
              <w:rPr>
                <w:rFonts w:cs="Arial"/>
                <w:szCs w:val="24"/>
              </w:rPr>
              <w:t>2</w:t>
            </w:r>
            <w:r w:rsidR="00E91F9C">
              <w:rPr>
                <w:rFonts w:cs="Arial"/>
                <w:szCs w:val="24"/>
              </w:rPr>
              <w:t>6</w:t>
            </w:r>
            <w:r w:rsidR="003005D7" w:rsidRPr="00A53B9F">
              <w:rPr>
                <w:rFonts w:cs="Arial"/>
                <w:szCs w:val="24"/>
              </w:rPr>
              <w:t>.</w:t>
            </w:r>
          </w:p>
          <w:p w:rsidR="009D4BC8" w:rsidRDefault="009D4BC8" w:rsidP="00C64714">
            <w:pPr>
              <w:pStyle w:val="ListParagraph"/>
              <w:rPr>
                <w:rFonts w:cs="Arial"/>
                <w:szCs w:val="24"/>
              </w:rPr>
            </w:pPr>
          </w:p>
          <w:p w:rsidR="00105B2C" w:rsidRPr="009D4BC8" w:rsidRDefault="00105B2C" w:rsidP="00C64714">
            <w:pPr>
              <w:pStyle w:val="ListParagraph"/>
              <w:rPr>
                <w:rFonts w:cs="Arial"/>
                <w:szCs w:val="24"/>
              </w:rPr>
            </w:pPr>
            <w:r w:rsidRPr="009D4BC8">
              <w:rPr>
                <w:rFonts w:cs="Arial"/>
                <w:szCs w:val="24"/>
              </w:rPr>
              <w:t xml:space="preserve">The final version </w:t>
            </w:r>
            <w:r w:rsidR="009D4BC8">
              <w:rPr>
                <w:rFonts w:cs="Arial"/>
                <w:szCs w:val="24"/>
              </w:rPr>
              <w:t>of the Capital Programme 201</w:t>
            </w:r>
            <w:r w:rsidR="00A81FAE">
              <w:rPr>
                <w:rFonts w:cs="Arial"/>
                <w:szCs w:val="24"/>
              </w:rPr>
              <w:t>9</w:t>
            </w:r>
            <w:r w:rsidR="009D4BC8">
              <w:rPr>
                <w:rFonts w:cs="Arial"/>
                <w:szCs w:val="24"/>
              </w:rPr>
              <w:t>/</w:t>
            </w:r>
            <w:r w:rsidR="00A81FAE">
              <w:rPr>
                <w:rFonts w:cs="Arial"/>
                <w:szCs w:val="24"/>
              </w:rPr>
              <w:t>20</w:t>
            </w:r>
            <w:r w:rsidR="009D4BC8">
              <w:rPr>
                <w:rFonts w:cs="Arial"/>
                <w:szCs w:val="24"/>
              </w:rPr>
              <w:t xml:space="preserve"> to 20</w:t>
            </w:r>
            <w:r w:rsidR="009D42A5">
              <w:rPr>
                <w:rFonts w:cs="Arial"/>
                <w:szCs w:val="24"/>
              </w:rPr>
              <w:t>2</w:t>
            </w:r>
            <w:r w:rsidR="00096764">
              <w:rPr>
                <w:rFonts w:cs="Arial"/>
                <w:szCs w:val="24"/>
              </w:rPr>
              <w:t>0</w:t>
            </w:r>
            <w:r w:rsidR="009D4BC8">
              <w:rPr>
                <w:rFonts w:cs="Arial"/>
                <w:szCs w:val="24"/>
              </w:rPr>
              <w:t>/2</w:t>
            </w:r>
            <w:r w:rsidR="00096764">
              <w:rPr>
                <w:rFonts w:cs="Arial"/>
                <w:szCs w:val="24"/>
              </w:rPr>
              <w:t>1</w:t>
            </w:r>
            <w:r w:rsidR="009D4BC8">
              <w:rPr>
                <w:rFonts w:cs="Arial"/>
                <w:szCs w:val="24"/>
              </w:rPr>
              <w:t xml:space="preserve"> </w:t>
            </w:r>
            <w:r w:rsidRPr="009D4BC8">
              <w:rPr>
                <w:rFonts w:cs="Arial"/>
                <w:szCs w:val="24"/>
              </w:rPr>
              <w:t>will be brought back to Cabinet in February</w:t>
            </w:r>
            <w:r w:rsidR="005867D6" w:rsidRPr="009D4BC8">
              <w:rPr>
                <w:rFonts w:cs="Arial"/>
                <w:szCs w:val="24"/>
              </w:rPr>
              <w:t xml:space="preserve"> </w:t>
            </w:r>
            <w:r w:rsidR="007F4BDA" w:rsidRPr="009D4BC8">
              <w:rPr>
                <w:rFonts w:cs="Arial"/>
                <w:szCs w:val="24"/>
              </w:rPr>
              <w:t xml:space="preserve">for recommendation to </w:t>
            </w:r>
            <w:r w:rsidR="005A0FFD" w:rsidRPr="009D4BC8">
              <w:rPr>
                <w:rFonts w:cs="Arial"/>
                <w:szCs w:val="24"/>
              </w:rPr>
              <w:t>Council in February.</w:t>
            </w:r>
          </w:p>
          <w:p w:rsidR="006D68FB" w:rsidRPr="00830C10" w:rsidRDefault="006D68FB" w:rsidP="00105B2C"/>
          <w:p w:rsidR="00333FAA" w:rsidRDefault="00105B2C">
            <w:pPr>
              <w:pStyle w:val="Heading2"/>
            </w:pPr>
            <w:r w:rsidRPr="00830C10">
              <w:t xml:space="preserve">Reason:  </w:t>
            </w:r>
            <w:r w:rsidRPr="00830C10">
              <w:rPr>
                <w:b w:val="0"/>
                <w:sz w:val="24"/>
                <w:szCs w:val="24"/>
              </w:rPr>
              <w:t xml:space="preserve">To enable the Council to have an approved </w:t>
            </w:r>
            <w:r w:rsidR="005B5926">
              <w:rPr>
                <w:b w:val="0"/>
                <w:sz w:val="24"/>
                <w:szCs w:val="24"/>
              </w:rPr>
              <w:t>C</w:t>
            </w:r>
            <w:r w:rsidRPr="00830C10">
              <w:rPr>
                <w:b w:val="0"/>
                <w:sz w:val="24"/>
                <w:szCs w:val="24"/>
              </w:rPr>
              <w:t xml:space="preserve">apital </w:t>
            </w:r>
            <w:r w:rsidR="005B5926">
              <w:rPr>
                <w:b w:val="0"/>
                <w:sz w:val="24"/>
                <w:szCs w:val="24"/>
              </w:rPr>
              <w:t>P</w:t>
            </w:r>
            <w:r w:rsidRPr="00830C10">
              <w:rPr>
                <w:b w:val="0"/>
                <w:sz w:val="24"/>
                <w:szCs w:val="24"/>
              </w:rPr>
              <w:t>rogramme for 20</w:t>
            </w:r>
            <w:r>
              <w:rPr>
                <w:b w:val="0"/>
                <w:sz w:val="24"/>
                <w:szCs w:val="24"/>
              </w:rPr>
              <w:t>1</w:t>
            </w:r>
            <w:r w:rsidR="00A81FAE">
              <w:rPr>
                <w:b w:val="0"/>
                <w:sz w:val="24"/>
                <w:szCs w:val="24"/>
              </w:rPr>
              <w:t>9</w:t>
            </w:r>
            <w:r w:rsidR="00B4220B">
              <w:rPr>
                <w:b w:val="0"/>
                <w:sz w:val="24"/>
                <w:szCs w:val="24"/>
              </w:rPr>
              <w:t>/</w:t>
            </w:r>
            <w:r w:rsidR="00A81FAE">
              <w:rPr>
                <w:b w:val="0"/>
                <w:sz w:val="24"/>
                <w:szCs w:val="24"/>
              </w:rPr>
              <w:t>20</w:t>
            </w:r>
            <w:r w:rsidRPr="00830C10">
              <w:rPr>
                <w:b w:val="0"/>
                <w:sz w:val="24"/>
                <w:szCs w:val="24"/>
              </w:rPr>
              <w:t xml:space="preserve"> </w:t>
            </w:r>
            <w:r>
              <w:rPr>
                <w:b w:val="0"/>
                <w:sz w:val="24"/>
                <w:szCs w:val="24"/>
              </w:rPr>
              <w:t>to 20</w:t>
            </w:r>
            <w:r w:rsidR="009D42A5">
              <w:rPr>
                <w:b w:val="0"/>
                <w:sz w:val="24"/>
                <w:szCs w:val="24"/>
              </w:rPr>
              <w:t>2</w:t>
            </w:r>
            <w:r w:rsidR="00096764">
              <w:rPr>
                <w:b w:val="0"/>
                <w:sz w:val="24"/>
                <w:szCs w:val="24"/>
              </w:rPr>
              <w:t>0</w:t>
            </w:r>
            <w:r>
              <w:rPr>
                <w:b w:val="0"/>
                <w:sz w:val="24"/>
                <w:szCs w:val="24"/>
              </w:rPr>
              <w:t>/</w:t>
            </w:r>
            <w:r w:rsidR="002478C4">
              <w:rPr>
                <w:b w:val="0"/>
                <w:sz w:val="24"/>
                <w:szCs w:val="24"/>
              </w:rPr>
              <w:t>2</w:t>
            </w:r>
            <w:r w:rsidR="00096764">
              <w:rPr>
                <w:b w:val="0"/>
                <w:sz w:val="24"/>
                <w:szCs w:val="24"/>
              </w:rPr>
              <w:t>1</w:t>
            </w:r>
            <w:r w:rsidR="008E2023">
              <w:rPr>
                <w:b w:val="0"/>
                <w:sz w:val="24"/>
                <w:szCs w:val="24"/>
              </w:rPr>
              <w:t>.</w:t>
            </w:r>
          </w:p>
        </w:tc>
      </w:tr>
    </w:tbl>
    <w:p w:rsidR="00333FAA" w:rsidRDefault="00333FAA" w:rsidP="00333FAA">
      <w:pPr>
        <w:pStyle w:val="Heading1"/>
        <w:rPr>
          <w:rFonts w:ascii="Arial" w:hAnsi="Arial"/>
          <w:sz w:val="24"/>
          <w:szCs w:val="24"/>
        </w:rPr>
      </w:pPr>
    </w:p>
    <w:p w:rsidR="006716D2" w:rsidRDefault="006716D2" w:rsidP="00A26B10"/>
    <w:p w:rsidR="006716D2" w:rsidRPr="00AB4880" w:rsidRDefault="006716D2" w:rsidP="00A26B10"/>
    <w:p w:rsidR="00333FAA" w:rsidRDefault="00333FAA" w:rsidP="00333FAA">
      <w:pPr>
        <w:pStyle w:val="Heading1"/>
      </w:pPr>
      <w:r>
        <w:t>Section 2 – Report</w:t>
      </w:r>
    </w:p>
    <w:p w:rsidR="005867D6" w:rsidRDefault="005867D6" w:rsidP="00105B2C">
      <w:pPr>
        <w:jc w:val="both"/>
        <w:rPr>
          <w:rFonts w:cs="Arial"/>
          <w:szCs w:val="24"/>
          <w:u w:val="single"/>
        </w:rPr>
      </w:pPr>
    </w:p>
    <w:p w:rsidR="00105B2C" w:rsidRPr="000C14C9" w:rsidRDefault="00105B2C" w:rsidP="005867D6">
      <w:pPr>
        <w:ind w:firstLine="567"/>
        <w:jc w:val="both"/>
        <w:rPr>
          <w:rFonts w:cs="Arial"/>
          <w:b/>
          <w:szCs w:val="24"/>
        </w:rPr>
      </w:pPr>
      <w:r w:rsidRPr="000C14C9">
        <w:rPr>
          <w:rFonts w:cs="Arial"/>
          <w:b/>
          <w:szCs w:val="24"/>
        </w:rPr>
        <w:t>Development of the Capital Programme</w:t>
      </w:r>
    </w:p>
    <w:p w:rsidR="00390AEE" w:rsidRPr="00A26B10" w:rsidRDefault="00272CC5" w:rsidP="00FE40AF">
      <w:pPr>
        <w:numPr>
          <w:ilvl w:val="0"/>
          <w:numId w:val="27"/>
        </w:numPr>
        <w:tabs>
          <w:tab w:val="clear" w:pos="360"/>
          <w:tab w:val="num" w:pos="1276"/>
        </w:tabs>
        <w:spacing w:after="120"/>
        <w:ind w:left="567" w:hanging="567"/>
        <w:jc w:val="both"/>
        <w:rPr>
          <w:rFonts w:cs="Arial"/>
          <w:color w:val="1F497D" w:themeColor="text2"/>
          <w:szCs w:val="24"/>
        </w:rPr>
      </w:pPr>
      <w:r w:rsidRPr="00FE40AF">
        <w:rPr>
          <w:rFonts w:cs="Arial"/>
          <w:szCs w:val="24"/>
        </w:rPr>
        <w:t>Traditionally, t</w:t>
      </w:r>
      <w:r w:rsidR="0008612D" w:rsidRPr="00272CC5">
        <w:rPr>
          <w:rFonts w:cs="Arial"/>
          <w:szCs w:val="24"/>
        </w:rPr>
        <w:t xml:space="preserve">he purpose of this draft Capital </w:t>
      </w:r>
      <w:r w:rsidR="007F4BDA" w:rsidRPr="00272CC5">
        <w:rPr>
          <w:rFonts w:cs="Arial"/>
          <w:szCs w:val="24"/>
        </w:rPr>
        <w:t>P</w:t>
      </w:r>
      <w:r w:rsidR="0008612D" w:rsidRPr="00272CC5">
        <w:rPr>
          <w:rFonts w:cs="Arial"/>
          <w:szCs w:val="24"/>
        </w:rPr>
        <w:t xml:space="preserve">rogramme report is to </w:t>
      </w:r>
      <w:r w:rsidR="00390AEE">
        <w:rPr>
          <w:rFonts w:cs="Arial"/>
          <w:szCs w:val="24"/>
        </w:rPr>
        <w:t>do the following:</w:t>
      </w:r>
    </w:p>
    <w:p w:rsidR="00390AEE" w:rsidRPr="00A26B10" w:rsidRDefault="005B5926" w:rsidP="00A26B10">
      <w:pPr>
        <w:pStyle w:val="ListParagraph"/>
        <w:numPr>
          <w:ilvl w:val="0"/>
          <w:numId w:val="43"/>
        </w:numPr>
        <w:spacing w:after="120"/>
        <w:jc w:val="both"/>
        <w:rPr>
          <w:rFonts w:cs="Arial"/>
          <w:szCs w:val="24"/>
        </w:rPr>
      </w:pPr>
      <w:r>
        <w:rPr>
          <w:rFonts w:cs="Arial"/>
          <w:szCs w:val="24"/>
        </w:rPr>
        <w:t>S</w:t>
      </w:r>
      <w:r w:rsidR="0008612D" w:rsidRPr="00F36169">
        <w:rPr>
          <w:rFonts w:cs="Arial"/>
          <w:szCs w:val="24"/>
        </w:rPr>
        <w:t xml:space="preserve">et out </w:t>
      </w:r>
      <w:r w:rsidR="00105B2C" w:rsidRPr="005B5926">
        <w:rPr>
          <w:rFonts w:cs="Arial"/>
          <w:szCs w:val="24"/>
        </w:rPr>
        <w:t xml:space="preserve">the </w:t>
      </w:r>
      <w:r w:rsidR="0008612D" w:rsidRPr="005B5926">
        <w:rPr>
          <w:rFonts w:cs="Arial"/>
          <w:szCs w:val="24"/>
        </w:rPr>
        <w:t xml:space="preserve">Council’s </w:t>
      </w:r>
      <w:r w:rsidR="009D4BC8" w:rsidRPr="005B5926">
        <w:rPr>
          <w:rFonts w:cs="Arial"/>
          <w:szCs w:val="24"/>
        </w:rPr>
        <w:t xml:space="preserve">draft </w:t>
      </w:r>
      <w:r w:rsidR="007F4BDA" w:rsidRPr="005B5926">
        <w:rPr>
          <w:rFonts w:cs="Arial"/>
          <w:szCs w:val="24"/>
        </w:rPr>
        <w:t>a</w:t>
      </w:r>
      <w:r w:rsidR="0008612D" w:rsidRPr="00AB4880">
        <w:rPr>
          <w:rFonts w:cs="Arial"/>
          <w:szCs w:val="24"/>
        </w:rPr>
        <w:t xml:space="preserve">dditional </w:t>
      </w:r>
      <w:r w:rsidR="007F4BDA" w:rsidRPr="00CA62F1">
        <w:rPr>
          <w:rFonts w:cs="Arial"/>
          <w:szCs w:val="24"/>
        </w:rPr>
        <w:t>c</w:t>
      </w:r>
      <w:r w:rsidR="0008612D" w:rsidRPr="00CA62F1">
        <w:rPr>
          <w:rFonts w:cs="Arial"/>
          <w:szCs w:val="24"/>
        </w:rPr>
        <w:t xml:space="preserve">apital </w:t>
      </w:r>
      <w:r w:rsidR="00105B2C" w:rsidRPr="00A26B10">
        <w:rPr>
          <w:rFonts w:cs="Arial"/>
          <w:szCs w:val="24"/>
        </w:rPr>
        <w:t xml:space="preserve">proposals for investment over the next </w:t>
      </w:r>
      <w:r w:rsidR="00B4220B" w:rsidRPr="00A26B10">
        <w:rPr>
          <w:rFonts w:cs="Arial"/>
          <w:szCs w:val="24"/>
        </w:rPr>
        <w:t>t</w:t>
      </w:r>
      <w:r w:rsidR="00272CC5" w:rsidRPr="00A26B10">
        <w:rPr>
          <w:rFonts w:cs="Arial"/>
          <w:szCs w:val="24"/>
        </w:rPr>
        <w:t xml:space="preserve">hree </w:t>
      </w:r>
      <w:r w:rsidR="00105B2C" w:rsidRPr="00A26B10">
        <w:rPr>
          <w:rFonts w:cs="Arial"/>
          <w:szCs w:val="24"/>
        </w:rPr>
        <w:t>years</w:t>
      </w:r>
      <w:r w:rsidR="00DE6A36" w:rsidRPr="00A26B10">
        <w:rPr>
          <w:rFonts w:cs="Arial"/>
          <w:szCs w:val="24"/>
        </w:rPr>
        <w:t xml:space="preserve"> 201</w:t>
      </w:r>
      <w:r w:rsidR="00A81FAE" w:rsidRPr="00A26B10">
        <w:rPr>
          <w:rFonts w:cs="Arial"/>
          <w:szCs w:val="24"/>
        </w:rPr>
        <w:t>9</w:t>
      </w:r>
      <w:r w:rsidR="00DE6A36" w:rsidRPr="00A26B10">
        <w:rPr>
          <w:rFonts w:cs="Arial"/>
          <w:szCs w:val="24"/>
        </w:rPr>
        <w:t>/</w:t>
      </w:r>
      <w:r w:rsidR="00A81FAE" w:rsidRPr="00A26B10">
        <w:rPr>
          <w:rFonts w:cs="Arial"/>
          <w:szCs w:val="24"/>
        </w:rPr>
        <w:t>20</w:t>
      </w:r>
      <w:r w:rsidR="00DE6A36" w:rsidRPr="00A26B10">
        <w:rPr>
          <w:rFonts w:cs="Arial"/>
          <w:szCs w:val="24"/>
        </w:rPr>
        <w:t xml:space="preserve"> to 20</w:t>
      </w:r>
      <w:r w:rsidR="009D42A5" w:rsidRPr="00A26B10">
        <w:rPr>
          <w:rFonts w:cs="Arial"/>
          <w:szCs w:val="24"/>
        </w:rPr>
        <w:t>2</w:t>
      </w:r>
      <w:r w:rsidR="00272CC5" w:rsidRPr="00A26B10">
        <w:rPr>
          <w:rFonts w:cs="Arial"/>
          <w:szCs w:val="24"/>
        </w:rPr>
        <w:t>1</w:t>
      </w:r>
      <w:r w:rsidR="00DE6A36" w:rsidRPr="00A26B10">
        <w:rPr>
          <w:rFonts w:cs="Arial"/>
          <w:szCs w:val="24"/>
        </w:rPr>
        <w:t>/2</w:t>
      </w:r>
      <w:r w:rsidR="00272CC5" w:rsidRPr="00A26B10">
        <w:rPr>
          <w:rFonts w:cs="Arial"/>
          <w:szCs w:val="24"/>
        </w:rPr>
        <w:t>2</w:t>
      </w:r>
      <w:r w:rsidR="0008612D" w:rsidRPr="00A26B10">
        <w:rPr>
          <w:rFonts w:cs="Arial"/>
          <w:szCs w:val="24"/>
        </w:rPr>
        <w:t xml:space="preserve"> which have been proposed as part of the </w:t>
      </w:r>
      <w:r w:rsidR="00F70007" w:rsidRPr="00A26B10">
        <w:rPr>
          <w:rFonts w:cs="Arial"/>
          <w:szCs w:val="24"/>
        </w:rPr>
        <w:t>2019/20 a</w:t>
      </w:r>
      <w:r w:rsidR="0008612D" w:rsidRPr="00A26B10">
        <w:rPr>
          <w:rFonts w:cs="Arial"/>
          <w:szCs w:val="24"/>
        </w:rPr>
        <w:t>nnual budget setting process</w:t>
      </w:r>
      <w:r w:rsidR="00272CC5" w:rsidRPr="00A26B10">
        <w:rPr>
          <w:rFonts w:cs="Arial"/>
          <w:szCs w:val="24"/>
        </w:rPr>
        <w:t xml:space="preserve"> and</w:t>
      </w:r>
    </w:p>
    <w:p w:rsidR="00B67C31" w:rsidRPr="00A26B10" w:rsidRDefault="00390AEE" w:rsidP="00A26B10">
      <w:pPr>
        <w:pStyle w:val="ListParagraph"/>
        <w:numPr>
          <w:ilvl w:val="0"/>
          <w:numId w:val="43"/>
        </w:numPr>
        <w:spacing w:after="120"/>
        <w:jc w:val="both"/>
        <w:rPr>
          <w:rFonts w:cs="Arial"/>
          <w:color w:val="1F497D" w:themeColor="text2"/>
          <w:szCs w:val="24"/>
        </w:rPr>
      </w:pPr>
      <w:r w:rsidRPr="00A26B10">
        <w:rPr>
          <w:rFonts w:cs="Arial"/>
          <w:szCs w:val="24"/>
        </w:rPr>
        <w:t xml:space="preserve">Review </w:t>
      </w:r>
      <w:r w:rsidR="00272CC5" w:rsidRPr="00A26B10">
        <w:rPr>
          <w:rFonts w:cs="Arial"/>
          <w:szCs w:val="24"/>
        </w:rPr>
        <w:t xml:space="preserve">the existing </w:t>
      </w:r>
      <w:r w:rsidR="005B5926">
        <w:rPr>
          <w:rFonts w:cs="Arial"/>
          <w:szCs w:val="24"/>
        </w:rPr>
        <w:t>C</w:t>
      </w:r>
      <w:r w:rsidR="00272CC5" w:rsidRPr="00A26B10">
        <w:rPr>
          <w:rFonts w:cs="Arial"/>
          <w:szCs w:val="24"/>
        </w:rPr>
        <w:t>a</w:t>
      </w:r>
      <w:r w:rsidR="0008612D" w:rsidRPr="00A26B10">
        <w:rPr>
          <w:rFonts w:cs="Arial"/>
          <w:szCs w:val="24"/>
        </w:rPr>
        <w:t xml:space="preserve">pital </w:t>
      </w:r>
      <w:r w:rsidR="007F4BDA" w:rsidRPr="00A26B10">
        <w:rPr>
          <w:rFonts w:cs="Arial"/>
          <w:szCs w:val="24"/>
        </w:rPr>
        <w:t>P</w:t>
      </w:r>
      <w:r w:rsidR="0008612D" w:rsidRPr="00A26B10">
        <w:rPr>
          <w:rFonts w:cs="Arial"/>
          <w:szCs w:val="24"/>
        </w:rPr>
        <w:t xml:space="preserve">rogramme budgets </w:t>
      </w:r>
      <w:r w:rsidR="00272CC5" w:rsidRPr="00A26B10">
        <w:rPr>
          <w:rFonts w:cs="Arial"/>
          <w:szCs w:val="24"/>
        </w:rPr>
        <w:t xml:space="preserve">agreed as part of the previous year’s budget but </w:t>
      </w:r>
      <w:r w:rsidR="0008612D" w:rsidRPr="00A26B10">
        <w:rPr>
          <w:rFonts w:cs="Arial"/>
          <w:szCs w:val="24"/>
        </w:rPr>
        <w:t xml:space="preserve">which need to be </w:t>
      </w:r>
      <w:r w:rsidR="003856CD" w:rsidRPr="00A26B10">
        <w:rPr>
          <w:rFonts w:cs="Arial"/>
          <w:szCs w:val="24"/>
        </w:rPr>
        <w:t xml:space="preserve">amended </w:t>
      </w:r>
      <w:r w:rsidR="0008612D" w:rsidRPr="00A26B10">
        <w:rPr>
          <w:rFonts w:cs="Arial"/>
          <w:szCs w:val="24"/>
        </w:rPr>
        <w:t>in order to reflect revised expenditure plans</w:t>
      </w:r>
      <w:r w:rsidR="0008612D" w:rsidRPr="00A26B10">
        <w:rPr>
          <w:rFonts w:cs="Arial"/>
          <w:color w:val="1F497D" w:themeColor="text2"/>
          <w:szCs w:val="24"/>
        </w:rPr>
        <w:t>.</w:t>
      </w:r>
      <w:r w:rsidR="00C3471E" w:rsidRPr="00A26B10">
        <w:rPr>
          <w:rFonts w:cs="Arial"/>
          <w:color w:val="1F497D" w:themeColor="text2"/>
          <w:szCs w:val="24"/>
        </w:rPr>
        <w:t xml:space="preserve"> </w:t>
      </w:r>
    </w:p>
    <w:p w:rsidR="00272CC5" w:rsidRPr="00A26B10" w:rsidRDefault="00272CC5" w:rsidP="00FE40AF">
      <w:pPr>
        <w:numPr>
          <w:ilvl w:val="0"/>
          <w:numId w:val="27"/>
        </w:numPr>
        <w:tabs>
          <w:tab w:val="clear" w:pos="360"/>
          <w:tab w:val="num" w:pos="1276"/>
        </w:tabs>
        <w:spacing w:after="120"/>
        <w:ind w:left="567" w:hanging="567"/>
        <w:jc w:val="both"/>
        <w:rPr>
          <w:rFonts w:cs="Arial"/>
          <w:szCs w:val="24"/>
        </w:rPr>
      </w:pPr>
      <w:r w:rsidRPr="00A26B10">
        <w:rPr>
          <w:rFonts w:cs="Arial"/>
          <w:szCs w:val="24"/>
        </w:rPr>
        <w:t xml:space="preserve">However, this year a different approach is recommended which will see the Capital programme being limited to 2 years as far as 2020/21, and </w:t>
      </w:r>
      <w:r w:rsidRPr="00A26B10">
        <w:rPr>
          <w:rFonts w:cs="Arial"/>
          <w:szCs w:val="24"/>
        </w:rPr>
        <w:lastRenderedPageBreak/>
        <w:t xml:space="preserve">also to undertake a review of the new and existing proposals in light of the </w:t>
      </w:r>
      <w:r w:rsidR="005B5926">
        <w:rPr>
          <w:rFonts w:cs="Arial"/>
          <w:szCs w:val="24"/>
        </w:rPr>
        <w:t>Council’s challenging financial position</w:t>
      </w:r>
      <w:r>
        <w:rPr>
          <w:rFonts w:cs="Arial"/>
          <w:szCs w:val="24"/>
        </w:rPr>
        <w:t xml:space="preserve"> (paragraphs 14 to 1</w:t>
      </w:r>
      <w:r w:rsidR="00FE40AF">
        <w:rPr>
          <w:rFonts w:cs="Arial"/>
          <w:szCs w:val="24"/>
        </w:rPr>
        <w:t>8</w:t>
      </w:r>
      <w:r>
        <w:rPr>
          <w:rFonts w:cs="Arial"/>
          <w:szCs w:val="24"/>
        </w:rPr>
        <w:t>).</w:t>
      </w:r>
    </w:p>
    <w:p w:rsidR="005B32A5" w:rsidRPr="002F7710" w:rsidRDefault="0008612D" w:rsidP="002F7710">
      <w:pPr>
        <w:numPr>
          <w:ilvl w:val="0"/>
          <w:numId w:val="27"/>
        </w:numPr>
        <w:tabs>
          <w:tab w:val="clear" w:pos="360"/>
          <w:tab w:val="num" w:pos="1276"/>
        </w:tabs>
        <w:spacing w:after="120"/>
        <w:ind w:left="567" w:hanging="567"/>
        <w:jc w:val="both"/>
        <w:rPr>
          <w:rFonts w:cs="Arial"/>
          <w:szCs w:val="24"/>
        </w:rPr>
      </w:pPr>
      <w:r w:rsidRPr="002F7710">
        <w:rPr>
          <w:rFonts w:cs="Arial"/>
          <w:szCs w:val="24"/>
        </w:rPr>
        <w:t xml:space="preserve">The final Capital </w:t>
      </w:r>
      <w:r w:rsidR="005B5926">
        <w:rPr>
          <w:rFonts w:cs="Arial"/>
          <w:szCs w:val="24"/>
        </w:rPr>
        <w:t>P</w:t>
      </w:r>
      <w:r w:rsidRPr="002F7710">
        <w:rPr>
          <w:rFonts w:cs="Arial"/>
          <w:szCs w:val="24"/>
        </w:rPr>
        <w:t xml:space="preserve">rogramme report </w:t>
      </w:r>
      <w:r w:rsidR="00B57442" w:rsidRPr="002F7710">
        <w:rPr>
          <w:rFonts w:cs="Arial"/>
          <w:szCs w:val="24"/>
        </w:rPr>
        <w:t xml:space="preserve">which will be presented </w:t>
      </w:r>
      <w:r w:rsidRPr="002F7710">
        <w:rPr>
          <w:rFonts w:cs="Arial"/>
          <w:szCs w:val="24"/>
        </w:rPr>
        <w:t xml:space="preserve">to Cabinet in February </w:t>
      </w:r>
      <w:r w:rsidR="00B57442" w:rsidRPr="00FE40AF">
        <w:rPr>
          <w:rFonts w:cs="Arial"/>
          <w:szCs w:val="24"/>
        </w:rPr>
        <w:t>201</w:t>
      </w:r>
      <w:r w:rsidR="00A81FAE" w:rsidRPr="002F7710">
        <w:rPr>
          <w:rFonts w:cs="Arial"/>
          <w:szCs w:val="24"/>
        </w:rPr>
        <w:t>9</w:t>
      </w:r>
      <w:r w:rsidR="001A6A6D" w:rsidRPr="002F7710">
        <w:rPr>
          <w:rFonts w:cs="Arial"/>
          <w:szCs w:val="24"/>
        </w:rPr>
        <w:t xml:space="preserve"> and</w:t>
      </w:r>
      <w:r w:rsidR="00B57442" w:rsidRPr="002F7710">
        <w:rPr>
          <w:rFonts w:cs="Arial"/>
          <w:szCs w:val="24"/>
        </w:rPr>
        <w:t xml:space="preserve"> </w:t>
      </w:r>
      <w:r w:rsidRPr="002F7710">
        <w:rPr>
          <w:rFonts w:cs="Arial"/>
          <w:szCs w:val="24"/>
        </w:rPr>
        <w:t xml:space="preserve">will show </w:t>
      </w:r>
      <w:r w:rsidR="00B57442" w:rsidRPr="002F7710">
        <w:rPr>
          <w:rFonts w:cs="Arial"/>
          <w:szCs w:val="24"/>
        </w:rPr>
        <w:t xml:space="preserve">the </w:t>
      </w:r>
      <w:r w:rsidRPr="002F7710">
        <w:rPr>
          <w:rFonts w:cs="Arial"/>
          <w:szCs w:val="24"/>
        </w:rPr>
        <w:t xml:space="preserve">total </w:t>
      </w:r>
      <w:r w:rsidR="007F4BDA" w:rsidRPr="002F7710">
        <w:rPr>
          <w:rFonts w:cs="Arial"/>
          <w:szCs w:val="24"/>
        </w:rPr>
        <w:t>C</w:t>
      </w:r>
      <w:r w:rsidRPr="002F7710">
        <w:rPr>
          <w:rFonts w:cs="Arial"/>
          <w:szCs w:val="24"/>
        </w:rPr>
        <w:t xml:space="preserve">apital </w:t>
      </w:r>
      <w:r w:rsidR="007F4BDA" w:rsidRPr="002F7710">
        <w:rPr>
          <w:rFonts w:cs="Arial"/>
          <w:szCs w:val="24"/>
        </w:rPr>
        <w:t>P</w:t>
      </w:r>
      <w:r w:rsidRPr="002F7710">
        <w:rPr>
          <w:rFonts w:cs="Arial"/>
          <w:szCs w:val="24"/>
        </w:rPr>
        <w:t xml:space="preserve">rogramme </w:t>
      </w:r>
      <w:r w:rsidR="00B57442" w:rsidRPr="002F7710">
        <w:rPr>
          <w:rFonts w:cs="Arial"/>
          <w:szCs w:val="24"/>
        </w:rPr>
        <w:t>for 201</w:t>
      </w:r>
      <w:r w:rsidR="00A81FAE" w:rsidRPr="002F7710">
        <w:rPr>
          <w:rFonts w:cs="Arial"/>
          <w:szCs w:val="24"/>
        </w:rPr>
        <w:t>9</w:t>
      </w:r>
      <w:r w:rsidR="00B57442" w:rsidRPr="002F7710">
        <w:rPr>
          <w:rFonts w:cs="Arial"/>
          <w:szCs w:val="24"/>
        </w:rPr>
        <w:t>/</w:t>
      </w:r>
      <w:r w:rsidR="00A81FAE" w:rsidRPr="002F7710">
        <w:rPr>
          <w:rFonts w:cs="Arial"/>
          <w:szCs w:val="24"/>
        </w:rPr>
        <w:t>20</w:t>
      </w:r>
      <w:r w:rsidR="00B57442" w:rsidRPr="002F7710">
        <w:rPr>
          <w:rFonts w:cs="Arial"/>
          <w:szCs w:val="24"/>
        </w:rPr>
        <w:t xml:space="preserve"> to 20</w:t>
      </w:r>
      <w:r w:rsidR="009D42A5" w:rsidRPr="002F7710">
        <w:rPr>
          <w:rFonts w:cs="Arial"/>
          <w:szCs w:val="24"/>
        </w:rPr>
        <w:t>2</w:t>
      </w:r>
      <w:r w:rsidR="00096764" w:rsidRPr="002F7710">
        <w:rPr>
          <w:rFonts w:cs="Arial"/>
          <w:szCs w:val="24"/>
        </w:rPr>
        <w:t>0</w:t>
      </w:r>
      <w:r w:rsidR="00B57442" w:rsidRPr="002F7710">
        <w:rPr>
          <w:rFonts w:cs="Arial"/>
          <w:szCs w:val="24"/>
        </w:rPr>
        <w:t>/2</w:t>
      </w:r>
      <w:r w:rsidR="00096764" w:rsidRPr="002F7710">
        <w:rPr>
          <w:rFonts w:cs="Arial"/>
          <w:szCs w:val="24"/>
        </w:rPr>
        <w:t>1</w:t>
      </w:r>
      <w:r w:rsidR="00B57442" w:rsidRPr="002F7710">
        <w:rPr>
          <w:rFonts w:cs="Arial"/>
          <w:szCs w:val="24"/>
        </w:rPr>
        <w:t xml:space="preserve"> incorporating the new capital proposals as well as </w:t>
      </w:r>
      <w:r w:rsidR="007F4BDA" w:rsidRPr="002F7710">
        <w:rPr>
          <w:rFonts w:cs="Arial"/>
          <w:szCs w:val="24"/>
        </w:rPr>
        <w:t xml:space="preserve">the </w:t>
      </w:r>
      <w:r w:rsidR="00B57442" w:rsidRPr="002F7710">
        <w:rPr>
          <w:rFonts w:cs="Arial"/>
          <w:szCs w:val="24"/>
        </w:rPr>
        <w:t>existing capital budgets</w:t>
      </w:r>
      <w:r w:rsidR="002F7710">
        <w:rPr>
          <w:rFonts w:cs="Arial"/>
          <w:szCs w:val="24"/>
        </w:rPr>
        <w:t xml:space="preserve"> which may be subject to some re profiling between years</w:t>
      </w:r>
      <w:r w:rsidR="005645A7" w:rsidRPr="002F7710">
        <w:rPr>
          <w:rFonts w:cs="Arial"/>
          <w:szCs w:val="24"/>
        </w:rPr>
        <w:t>.</w:t>
      </w:r>
    </w:p>
    <w:p w:rsidR="00CA7F5A" w:rsidRDefault="00B57442">
      <w:pPr>
        <w:spacing w:after="120"/>
        <w:ind w:left="567"/>
        <w:jc w:val="both"/>
        <w:rPr>
          <w:rFonts w:cs="Arial"/>
          <w:szCs w:val="24"/>
        </w:rPr>
      </w:pPr>
      <w:r>
        <w:rPr>
          <w:rFonts w:cs="Arial"/>
          <w:szCs w:val="24"/>
        </w:rPr>
        <w:t xml:space="preserve"> </w:t>
      </w:r>
    </w:p>
    <w:p w:rsidR="002640D2" w:rsidRPr="000C14C9" w:rsidRDefault="005867D6" w:rsidP="00EA216C">
      <w:pPr>
        <w:ind w:left="567"/>
        <w:jc w:val="both"/>
        <w:rPr>
          <w:rFonts w:cs="Arial"/>
          <w:b/>
          <w:szCs w:val="24"/>
        </w:rPr>
      </w:pPr>
      <w:r w:rsidRPr="000C14C9">
        <w:rPr>
          <w:rFonts w:cs="Arial"/>
          <w:b/>
          <w:szCs w:val="24"/>
        </w:rPr>
        <w:t>New Capital proposals 201</w:t>
      </w:r>
      <w:r w:rsidR="00A81FAE">
        <w:rPr>
          <w:rFonts w:cs="Arial"/>
          <w:b/>
          <w:szCs w:val="24"/>
        </w:rPr>
        <w:t>9</w:t>
      </w:r>
      <w:r w:rsidRPr="000C14C9">
        <w:rPr>
          <w:rFonts w:cs="Arial"/>
          <w:b/>
          <w:szCs w:val="24"/>
        </w:rPr>
        <w:t>/</w:t>
      </w:r>
      <w:r w:rsidR="00A81FAE">
        <w:rPr>
          <w:rFonts w:cs="Arial"/>
          <w:b/>
          <w:szCs w:val="24"/>
        </w:rPr>
        <w:t>20</w:t>
      </w:r>
      <w:r w:rsidRPr="000C14C9">
        <w:rPr>
          <w:rFonts w:cs="Arial"/>
          <w:b/>
          <w:szCs w:val="24"/>
        </w:rPr>
        <w:t xml:space="preserve"> to 20</w:t>
      </w:r>
      <w:r w:rsidR="009D42A5">
        <w:rPr>
          <w:rFonts w:cs="Arial"/>
          <w:b/>
          <w:szCs w:val="24"/>
        </w:rPr>
        <w:t>2</w:t>
      </w:r>
      <w:r w:rsidR="00096764">
        <w:rPr>
          <w:rFonts w:cs="Arial"/>
          <w:b/>
          <w:szCs w:val="24"/>
        </w:rPr>
        <w:t>0</w:t>
      </w:r>
      <w:r w:rsidRPr="000C14C9">
        <w:rPr>
          <w:rFonts w:cs="Arial"/>
          <w:b/>
          <w:szCs w:val="24"/>
        </w:rPr>
        <w:t>/2</w:t>
      </w:r>
      <w:r w:rsidR="00096764">
        <w:rPr>
          <w:rFonts w:cs="Arial"/>
          <w:b/>
          <w:szCs w:val="24"/>
        </w:rPr>
        <w:t>1</w:t>
      </w:r>
    </w:p>
    <w:p w:rsidR="00105B2C" w:rsidRDefault="00105B2C" w:rsidP="00EA216C">
      <w:pPr>
        <w:numPr>
          <w:ilvl w:val="0"/>
          <w:numId w:val="27"/>
        </w:numPr>
        <w:tabs>
          <w:tab w:val="clear" w:pos="360"/>
          <w:tab w:val="num" w:pos="567"/>
          <w:tab w:val="num" w:pos="1985"/>
        </w:tabs>
        <w:ind w:left="567" w:hanging="567"/>
        <w:jc w:val="both"/>
        <w:rPr>
          <w:rFonts w:cs="Arial"/>
          <w:szCs w:val="24"/>
        </w:rPr>
      </w:pPr>
      <w:r w:rsidRPr="00DE6A36">
        <w:rPr>
          <w:rFonts w:cs="Arial"/>
          <w:szCs w:val="24"/>
        </w:rPr>
        <w:t>Service directorates were invited to bid for capital resources, as part of their service proposals for 201</w:t>
      </w:r>
      <w:r w:rsidR="001A1572">
        <w:rPr>
          <w:rFonts w:cs="Arial"/>
          <w:szCs w:val="24"/>
        </w:rPr>
        <w:t>9</w:t>
      </w:r>
      <w:r w:rsidR="00D90A37" w:rsidRPr="00DE6A36">
        <w:rPr>
          <w:rFonts w:cs="Arial"/>
          <w:szCs w:val="24"/>
        </w:rPr>
        <w:t>/</w:t>
      </w:r>
      <w:r w:rsidR="001A1572">
        <w:rPr>
          <w:rFonts w:cs="Arial"/>
          <w:szCs w:val="24"/>
        </w:rPr>
        <w:t>20</w:t>
      </w:r>
      <w:r w:rsidR="008916DC" w:rsidRPr="00DE6A36">
        <w:rPr>
          <w:rFonts w:cs="Arial"/>
          <w:szCs w:val="24"/>
        </w:rPr>
        <w:t xml:space="preserve"> to 20</w:t>
      </w:r>
      <w:r w:rsidR="009D42A5">
        <w:rPr>
          <w:rFonts w:cs="Arial"/>
          <w:szCs w:val="24"/>
        </w:rPr>
        <w:t>2</w:t>
      </w:r>
      <w:r w:rsidR="001A1572">
        <w:rPr>
          <w:rFonts w:cs="Arial"/>
          <w:szCs w:val="24"/>
        </w:rPr>
        <w:t>1</w:t>
      </w:r>
      <w:r w:rsidRPr="00DE6A36">
        <w:rPr>
          <w:rFonts w:cs="Arial"/>
          <w:szCs w:val="24"/>
        </w:rPr>
        <w:t>/</w:t>
      </w:r>
      <w:r w:rsidR="008916DC" w:rsidRPr="00DE6A36">
        <w:rPr>
          <w:rFonts w:cs="Arial"/>
          <w:szCs w:val="24"/>
        </w:rPr>
        <w:t>2</w:t>
      </w:r>
      <w:r w:rsidR="001A1572">
        <w:rPr>
          <w:rFonts w:cs="Arial"/>
          <w:szCs w:val="24"/>
        </w:rPr>
        <w:t>2</w:t>
      </w:r>
      <w:r w:rsidRPr="00DE6A36">
        <w:rPr>
          <w:rFonts w:cs="Arial"/>
          <w:szCs w:val="24"/>
        </w:rPr>
        <w:t xml:space="preserve">.  The proposals </w:t>
      </w:r>
      <w:r w:rsidR="009D6D4F">
        <w:rPr>
          <w:rFonts w:cs="Arial"/>
          <w:szCs w:val="24"/>
        </w:rPr>
        <w:t xml:space="preserve">which have been put forward </w:t>
      </w:r>
      <w:r w:rsidRPr="00DE6A36">
        <w:rPr>
          <w:rFonts w:cs="Arial"/>
          <w:szCs w:val="24"/>
        </w:rPr>
        <w:t>tak</w:t>
      </w:r>
      <w:r w:rsidR="009D6D4F">
        <w:rPr>
          <w:rFonts w:cs="Arial"/>
          <w:szCs w:val="24"/>
        </w:rPr>
        <w:t>e</w:t>
      </w:r>
      <w:r w:rsidR="00D90A37" w:rsidRPr="00DE6A36">
        <w:rPr>
          <w:rFonts w:cs="Arial"/>
          <w:szCs w:val="24"/>
        </w:rPr>
        <w:t xml:space="preserve"> into</w:t>
      </w:r>
      <w:r w:rsidRPr="00DE6A36">
        <w:rPr>
          <w:rFonts w:cs="Arial"/>
          <w:szCs w:val="24"/>
        </w:rPr>
        <w:t xml:space="preserve"> account</w:t>
      </w:r>
      <w:r w:rsidR="00E21E6B" w:rsidRPr="00DE6A36">
        <w:rPr>
          <w:rFonts w:cs="Arial"/>
          <w:szCs w:val="24"/>
        </w:rPr>
        <w:t xml:space="preserve"> </w:t>
      </w:r>
      <w:r w:rsidR="00DE6A36" w:rsidRPr="00DE6A36">
        <w:rPr>
          <w:rFonts w:cs="Arial"/>
          <w:szCs w:val="24"/>
        </w:rPr>
        <w:t xml:space="preserve">the </w:t>
      </w:r>
      <w:r w:rsidR="0017619C" w:rsidRPr="00DE6A36">
        <w:rPr>
          <w:rFonts w:cs="Arial"/>
          <w:szCs w:val="24"/>
        </w:rPr>
        <w:t>council</w:t>
      </w:r>
      <w:r w:rsidR="00DE6A36" w:rsidRPr="00DE6A36">
        <w:rPr>
          <w:rFonts w:cs="Arial"/>
          <w:szCs w:val="24"/>
        </w:rPr>
        <w:t>’s</w:t>
      </w:r>
      <w:r w:rsidR="00E21E6B" w:rsidRPr="00DE6A36">
        <w:rPr>
          <w:rFonts w:cs="Arial"/>
          <w:szCs w:val="24"/>
        </w:rPr>
        <w:t xml:space="preserve"> strategic vision </w:t>
      </w:r>
      <w:r w:rsidR="00E21E6B" w:rsidRPr="007C49E5">
        <w:rPr>
          <w:rFonts w:cs="Arial"/>
          <w:szCs w:val="24"/>
        </w:rPr>
        <w:t>of “Working together to make a difference for Harrow”</w:t>
      </w:r>
      <w:r w:rsidR="00DE6A36" w:rsidRPr="007C49E5">
        <w:rPr>
          <w:rFonts w:cs="Arial"/>
          <w:szCs w:val="24"/>
        </w:rPr>
        <w:t xml:space="preserve">, </w:t>
      </w:r>
      <w:r w:rsidR="009D42A5" w:rsidRPr="007C49E5">
        <w:rPr>
          <w:rFonts w:cs="Arial"/>
          <w:szCs w:val="24"/>
        </w:rPr>
        <w:t xml:space="preserve">the </w:t>
      </w:r>
      <w:r w:rsidR="009D42A5" w:rsidRPr="00DE6A36">
        <w:rPr>
          <w:rFonts w:cs="Arial"/>
          <w:szCs w:val="24"/>
        </w:rPr>
        <w:t>Council’s</w:t>
      </w:r>
      <w:r w:rsidRPr="00DE6A36">
        <w:rPr>
          <w:rFonts w:cs="Arial"/>
          <w:szCs w:val="24"/>
        </w:rPr>
        <w:t xml:space="preserve"> </w:t>
      </w:r>
      <w:r w:rsidR="00DE6A36" w:rsidRPr="00DE6A36">
        <w:rPr>
          <w:rFonts w:cs="Arial"/>
          <w:szCs w:val="24"/>
        </w:rPr>
        <w:t>p</w:t>
      </w:r>
      <w:r w:rsidRPr="00DE6A36">
        <w:rPr>
          <w:rFonts w:cs="Arial"/>
          <w:szCs w:val="24"/>
        </w:rPr>
        <w:t>riorities and equalities or other statutory duties</w:t>
      </w:r>
      <w:r w:rsidR="00DE6A36" w:rsidRPr="00DE6A36">
        <w:rPr>
          <w:rFonts w:cs="Arial"/>
          <w:szCs w:val="24"/>
        </w:rPr>
        <w:t>.</w:t>
      </w:r>
      <w:r w:rsidRPr="00DE6A36">
        <w:rPr>
          <w:rFonts w:cs="Arial"/>
          <w:szCs w:val="24"/>
        </w:rPr>
        <w:t xml:space="preserve"> </w:t>
      </w:r>
    </w:p>
    <w:p w:rsidR="00B67C31" w:rsidRDefault="00B67C31" w:rsidP="00A26B10">
      <w:pPr>
        <w:tabs>
          <w:tab w:val="num" w:pos="1985"/>
        </w:tabs>
        <w:ind w:left="567"/>
        <w:jc w:val="both"/>
        <w:rPr>
          <w:rFonts w:cs="Arial"/>
          <w:szCs w:val="24"/>
        </w:rPr>
      </w:pPr>
    </w:p>
    <w:p w:rsidR="00B67C31" w:rsidRDefault="00B67C31" w:rsidP="00105B2C">
      <w:pPr>
        <w:numPr>
          <w:ilvl w:val="0"/>
          <w:numId w:val="27"/>
        </w:numPr>
        <w:tabs>
          <w:tab w:val="clear" w:pos="360"/>
          <w:tab w:val="num" w:pos="567"/>
          <w:tab w:val="num" w:pos="1985"/>
        </w:tabs>
        <w:ind w:left="567" w:hanging="567"/>
        <w:jc w:val="both"/>
        <w:rPr>
          <w:rFonts w:cs="Arial"/>
          <w:szCs w:val="24"/>
        </w:rPr>
      </w:pPr>
      <w:r>
        <w:rPr>
          <w:rFonts w:cs="Arial"/>
          <w:szCs w:val="24"/>
        </w:rPr>
        <w:t xml:space="preserve">In view of the current financial climate and reduced external funding service directorates were asked to limit new capital proposals to the following categories: </w:t>
      </w:r>
    </w:p>
    <w:p w:rsidR="00B67C31" w:rsidRDefault="00B67C31" w:rsidP="00A26B10">
      <w:pPr>
        <w:pStyle w:val="ListParagraph"/>
        <w:rPr>
          <w:rFonts w:cs="Arial"/>
          <w:szCs w:val="24"/>
        </w:rPr>
      </w:pPr>
    </w:p>
    <w:p w:rsidR="00B67C31" w:rsidRPr="000E638E" w:rsidRDefault="00B67C31" w:rsidP="00B67C31">
      <w:pPr>
        <w:pStyle w:val="ListParagraph"/>
        <w:numPr>
          <w:ilvl w:val="0"/>
          <w:numId w:val="39"/>
        </w:numPr>
        <w:rPr>
          <w:rFonts w:cs="Arial"/>
          <w:szCs w:val="24"/>
        </w:rPr>
      </w:pPr>
      <w:r w:rsidRPr="000E638E">
        <w:rPr>
          <w:rFonts w:cs="Arial"/>
          <w:szCs w:val="24"/>
        </w:rPr>
        <w:t>Life and Limb/Health and Safety.</w:t>
      </w:r>
    </w:p>
    <w:p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Statutory Requirement/legislation.</w:t>
      </w:r>
    </w:p>
    <w:p w:rsidR="00B67C31" w:rsidRPr="000E638E" w:rsidRDefault="00B67C31" w:rsidP="00B67C31">
      <w:pPr>
        <w:numPr>
          <w:ilvl w:val="0"/>
          <w:numId w:val="39"/>
        </w:numPr>
        <w:spacing w:after="200" w:line="276" w:lineRule="auto"/>
        <w:contextualSpacing/>
        <w:rPr>
          <w:rFonts w:cs="Arial"/>
          <w:szCs w:val="24"/>
        </w:rPr>
      </w:pPr>
      <w:r w:rsidRPr="000E638E">
        <w:rPr>
          <w:rFonts w:cs="Arial"/>
          <w:szCs w:val="24"/>
        </w:rPr>
        <w:t>Schemes fully funded by external sources.</w:t>
      </w:r>
    </w:p>
    <w:p w:rsidR="00B67C31" w:rsidRDefault="00B67C31" w:rsidP="00B67C31">
      <w:pPr>
        <w:numPr>
          <w:ilvl w:val="0"/>
          <w:numId w:val="39"/>
        </w:numPr>
        <w:spacing w:after="200" w:line="276" w:lineRule="auto"/>
        <w:contextualSpacing/>
        <w:rPr>
          <w:rFonts w:cs="Arial"/>
          <w:szCs w:val="24"/>
        </w:rPr>
      </w:pPr>
      <w:r w:rsidRPr="000E638E">
        <w:rPr>
          <w:rFonts w:cs="Arial"/>
          <w:szCs w:val="24"/>
        </w:rPr>
        <w:t>Invest to Save Schemes (the capital expenditure must generate a revenue stream to cover the capital financing costs and make a savings contribution).</w:t>
      </w:r>
    </w:p>
    <w:p w:rsidR="00B67C31" w:rsidRDefault="00B67C31" w:rsidP="00A26B10">
      <w:pPr>
        <w:tabs>
          <w:tab w:val="num" w:pos="1985"/>
        </w:tabs>
        <w:ind w:left="567"/>
        <w:jc w:val="both"/>
        <w:rPr>
          <w:rFonts w:cs="Arial"/>
          <w:szCs w:val="24"/>
        </w:rPr>
      </w:pPr>
    </w:p>
    <w:p w:rsidR="00B67C31" w:rsidRDefault="00B67C31" w:rsidP="00A26B10">
      <w:pPr>
        <w:tabs>
          <w:tab w:val="num" w:pos="1985"/>
        </w:tabs>
        <w:ind w:left="567"/>
        <w:jc w:val="both"/>
        <w:rPr>
          <w:rFonts w:cs="Arial"/>
          <w:b/>
          <w:szCs w:val="24"/>
        </w:rPr>
      </w:pPr>
      <w:r w:rsidRPr="00A26B10">
        <w:rPr>
          <w:rFonts w:cs="Arial"/>
          <w:b/>
          <w:szCs w:val="24"/>
        </w:rPr>
        <w:t xml:space="preserve">Current cost of the Capital Programme </w:t>
      </w:r>
    </w:p>
    <w:p w:rsidR="001F1868" w:rsidRDefault="002F7710"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The 2018/19 </w:t>
      </w:r>
      <w:r w:rsidR="00272CC5">
        <w:rPr>
          <w:rFonts w:cs="Arial"/>
          <w:szCs w:val="24"/>
        </w:rPr>
        <w:t xml:space="preserve">revenue </w:t>
      </w:r>
      <w:r>
        <w:rPr>
          <w:rFonts w:cs="Arial"/>
          <w:szCs w:val="24"/>
        </w:rPr>
        <w:t xml:space="preserve">budget </w:t>
      </w:r>
      <w:r w:rsidR="00390AEE">
        <w:rPr>
          <w:rFonts w:cs="Arial"/>
          <w:szCs w:val="24"/>
        </w:rPr>
        <w:t xml:space="preserve">in respect of </w:t>
      </w:r>
      <w:r w:rsidR="00B67C31">
        <w:rPr>
          <w:rFonts w:cs="Arial"/>
          <w:szCs w:val="24"/>
        </w:rPr>
        <w:t xml:space="preserve">the </w:t>
      </w:r>
      <w:r w:rsidR="00390AEE">
        <w:rPr>
          <w:rFonts w:cs="Arial"/>
          <w:szCs w:val="24"/>
        </w:rPr>
        <w:t>c</w:t>
      </w:r>
      <w:r>
        <w:rPr>
          <w:rFonts w:cs="Arial"/>
          <w:szCs w:val="24"/>
        </w:rPr>
        <w:t>apital financing cost of the existing Capital programme</w:t>
      </w:r>
      <w:r w:rsidR="00FF3DB3">
        <w:rPr>
          <w:rFonts w:cs="Arial"/>
          <w:szCs w:val="24"/>
        </w:rPr>
        <w:t xml:space="preserve"> 2018/19 to 2020/21 is</w:t>
      </w:r>
      <w:r>
        <w:rPr>
          <w:rFonts w:cs="Arial"/>
          <w:szCs w:val="24"/>
        </w:rPr>
        <w:t xml:space="preserve"> </w:t>
      </w:r>
      <w:r w:rsidR="001E0DA0">
        <w:rPr>
          <w:rFonts w:cs="Arial"/>
          <w:szCs w:val="24"/>
        </w:rPr>
        <w:t>£24.6m</w:t>
      </w:r>
      <w:r w:rsidR="00FF3DB3">
        <w:rPr>
          <w:rFonts w:cs="Arial"/>
          <w:szCs w:val="24"/>
        </w:rPr>
        <w:t xml:space="preserve">.  This figure of £24.6m will also relate to the cost of historic capital programmes spent prior to 2018/19 but it does </w:t>
      </w:r>
      <w:r w:rsidR="00FF3DB3" w:rsidRPr="00A26B10">
        <w:rPr>
          <w:rFonts w:cs="Arial"/>
          <w:b/>
          <w:szCs w:val="24"/>
        </w:rPr>
        <w:t>not</w:t>
      </w:r>
      <w:r w:rsidR="00FF3DB3">
        <w:rPr>
          <w:rFonts w:cs="Arial"/>
          <w:szCs w:val="24"/>
        </w:rPr>
        <w:t xml:space="preserve"> include the cost of the proposals at Appendix 1.  £24.6m </w:t>
      </w:r>
      <w:r w:rsidR="001E0DA0">
        <w:rPr>
          <w:rFonts w:cs="Arial"/>
          <w:szCs w:val="24"/>
        </w:rPr>
        <w:t xml:space="preserve">is </w:t>
      </w:r>
      <w:r w:rsidR="00FF3DB3">
        <w:rPr>
          <w:rFonts w:cs="Arial"/>
          <w:szCs w:val="24"/>
        </w:rPr>
        <w:t xml:space="preserve">approximately 15% of the net revenue budget of £168.9m. </w:t>
      </w:r>
    </w:p>
    <w:p w:rsidR="001F1868" w:rsidRDefault="001F1868"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Although </w:t>
      </w:r>
      <w:r w:rsidR="00B67C31">
        <w:rPr>
          <w:rFonts w:cs="Arial"/>
          <w:szCs w:val="24"/>
        </w:rPr>
        <w:t>there are</w:t>
      </w:r>
      <w:r>
        <w:rPr>
          <w:rFonts w:cs="Arial"/>
          <w:szCs w:val="24"/>
        </w:rPr>
        <w:t xml:space="preserve"> </w:t>
      </w:r>
      <w:r w:rsidRPr="00105B2C">
        <w:rPr>
          <w:rFonts w:cs="Arial"/>
          <w:szCs w:val="24"/>
        </w:rPr>
        <w:t xml:space="preserve">no specific limits to borrowing in order to fund capital expenditure, </w:t>
      </w:r>
      <w:r>
        <w:rPr>
          <w:rFonts w:cs="Arial"/>
          <w:szCs w:val="24"/>
        </w:rPr>
        <w:t xml:space="preserve">the </w:t>
      </w:r>
      <w:r w:rsidRPr="00105B2C">
        <w:rPr>
          <w:rFonts w:cs="Arial"/>
          <w:szCs w:val="24"/>
        </w:rPr>
        <w:t xml:space="preserve">Council must </w:t>
      </w:r>
      <w:r w:rsidR="005B5926">
        <w:rPr>
          <w:rFonts w:cs="Arial"/>
          <w:szCs w:val="24"/>
        </w:rPr>
        <w:t xml:space="preserve">be prudent when </w:t>
      </w:r>
      <w:r w:rsidRPr="00105B2C">
        <w:rPr>
          <w:rFonts w:cs="Arial"/>
          <w:szCs w:val="24"/>
        </w:rPr>
        <w:t>consider</w:t>
      </w:r>
      <w:r w:rsidR="005B5926">
        <w:rPr>
          <w:rFonts w:cs="Arial"/>
          <w:szCs w:val="24"/>
        </w:rPr>
        <w:t>ing</w:t>
      </w:r>
      <w:r w:rsidRPr="00105B2C">
        <w:rPr>
          <w:rFonts w:cs="Arial"/>
          <w:szCs w:val="24"/>
        </w:rPr>
        <w:t xml:space="preserve"> the revenue implications in the context of the overall revenue budget commitments in the medium term</w:t>
      </w:r>
      <w:r>
        <w:rPr>
          <w:rFonts w:cs="Arial"/>
          <w:szCs w:val="24"/>
        </w:rPr>
        <w:t xml:space="preserve"> and the Capital Programme </w:t>
      </w:r>
      <w:r w:rsidRPr="00105B2C">
        <w:rPr>
          <w:rFonts w:cs="Arial"/>
          <w:szCs w:val="24"/>
        </w:rPr>
        <w:t>must be affordable.</w:t>
      </w:r>
    </w:p>
    <w:p w:rsidR="00FF3DB3" w:rsidRDefault="00FF3DB3"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 xml:space="preserve">In </w:t>
      </w:r>
      <w:r w:rsidR="001F1868">
        <w:rPr>
          <w:rFonts w:cs="Arial"/>
          <w:szCs w:val="24"/>
        </w:rPr>
        <w:t xml:space="preserve">the current </w:t>
      </w:r>
      <w:r>
        <w:rPr>
          <w:rFonts w:cs="Arial"/>
          <w:szCs w:val="24"/>
        </w:rPr>
        <w:t xml:space="preserve">situation where the revenue budget continues to reduce </w:t>
      </w:r>
      <w:r w:rsidR="001F1868">
        <w:rPr>
          <w:rFonts w:cs="Arial"/>
          <w:szCs w:val="24"/>
        </w:rPr>
        <w:t>each</w:t>
      </w:r>
      <w:r>
        <w:rPr>
          <w:rFonts w:cs="Arial"/>
          <w:szCs w:val="24"/>
        </w:rPr>
        <w:t xml:space="preserve"> year, but capital financing </w:t>
      </w:r>
      <w:r w:rsidR="001F1868">
        <w:rPr>
          <w:rFonts w:cs="Arial"/>
          <w:szCs w:val="24"/>
        </w:rPr>
        <w:t xml:space="preserve">costs increase as a result of increasing </w:t>
      </w:r>
      <w:r>
        <w:rPr>
          <w:rFonts w:cs="Arial"/>
          <w:szCs w:val="24"/>
        </w:rPr>
        <w:t xml:space="preserve"> the capital programme</w:t>
      </w:r>
      <w:r w:rsidR="001F1868">
        <w:rPr>
          <w:rFonts w:cs="Arial"/>
          <w:szCs w:val="24"/>
        </w:rPr>
        <w:t xml:space="preserve"> each year</w:t>
      </w:r>
      <w:r>
        <w:rPr>
          <w:rFonts w:cs="Arial"/>
          <w:szCs w:val="24"/>
        </w:rPr>
        <w:t xml:space="preserve">, the proportion of the net revenue budget which </w:t>
      </w:r>
      <w:r w:rsidR="00272CC5">
        <w:rPr>
          <w:rFonts w:cs="Arial"/>
          <w:szCs w:val="24"/>
        </w:rPr>
        <w:t xml:space="preserve">funds </w:t>
      </w:r>
      <w:r>
        <w:rPr>
          <w:rFonts w:cs="Arial"/>
          <w:szCs w:val="24"/>
        </w:rPr>
        <w:t xml:space="preserve">capital financing costs </w:t>
      </w:r>
      <w:r w:rsidR="001F1868">
        <w:rPr>
          <w:rFonts w:cs="Arial"/>
          <w:szCs w:val="24"/>
        </w:rPr>
        <w:t>will increase</w:t>
      </w:r>
      <w:r w:rsidR="00272CC5">
        <w:rPr>
          <w:rFonts w:cs="Arial"/>
          <w:szCs w:val="24"/>
        </w:rPr>
        <w:t xml:space="preserve"> each year</w:t>
      </w:r>
      <w:r w:rsidR="001F1868">
        <w:rPr>
          <w:rFonts w:cs="Arial"/>
          <w:szCs w:val="24"/>
        </w:rPr>
        <w:t xml:space="preserve">. </w:t>
      </w:r>
      <w:r>
        <w:rPr>
          <w:rFonts w:cs="Arial"/>
          <w:szCs w:val="24"/>
        </w:rPr>
        <w:t xml:space="preserve"> </w:t>
      </w:r>
    </w:p>
    <w:p w:rsidR="00C609E9" w:rsidRDefault="006716D2" w:rsidP="00FF590B">
      <w:pPr>
        <w:numPr>
          <w:ilvl w:val="0"/>
          <w:numId w:val="27"/>
        </w:numPr>
        <w:tabs>
          <w:tab w:val="clear" w:pos="360"/>
          <w:tab w:val="num" w:pos="567"/>
          <w:tab w:val="num" w:pos="1985"/>
        </w:tabs>
        <w:spacing w:after="120"/>
        <w:ind w:left="567" w:hanging="567"/>
        <w:jc w:val="both"/>
        <w:rPr>
          <w:rFonts w:cs="Arial"/>
          <w:szCs w:val="24"/>
        </w:rPr>
      </w:pPr>
      <w:r>
        <w:rPr>
          <w:rFonts w:cs="Arial"/>
          <w:szCs w:val="24"/>
        </w:rPr>
        <w:t>Table 1</w:t>
      </w:r>
      <w:r w:rsidR="00FF3DB3">
        <w:rPr>
          <w:rFonts w:cs="Arial"/>
          <w:szCs w:val="24"/>
        </w:rPr>
        <w:t xml:space="preserve"> below shows the capital financing costs </w:t>
      </w:r>
      <w:r w:rsidR="001F1868">
        <w:rPr>
          <w:rFonts w:cs="Arial"/>
          <w:szCs w:val="24"/>
        </w:rPr>
        <w:t xml:space="preserve">that are </w:t>
      </w:r>
      <w:r w:rsidR="00FF3DB3">
        <w:rPr>
          <w:rFonts w:cs="Arial"/>
          <w:szCs w:val="24"/>
        </w:rPr>
        <w:t xml:space="preserve">already </w:t>
      </w:r>
      <w:r w:rsidR="001F1868">
        <w:rPr>
          <w:rFonts w:cs="Arial"/>
          <w:szCs w:val="24"/>
        </w:rPr>
        <w:t xml:space="preserve">factored into </w:t>
      </w:r>
      <w:r w:rsidR="00FF3DB3">
        <w:rPr>
          <w:rFonts w:cs="Arial"/>
          <w:szCs w:val="24"/>
        </w:rPr>
        <w:t xml:space="preserve">the existing </w:t>
      </w:r>
      <w:r w:rsidR="001F1868">
        <w:rPr>
          <w:rFonts w:cs="Arial"/>
          <w:szCs w:val="24"/>
        </w:rPr>
        <w:t xml:space="preserve">MTFS </w:t>
      </w:r>
      <w:r w:rsidR="00FF3DB3">
        <w:rPr>
          <w:rFonts w:cs="Arial"/>
          <w:szCs w:val="24"/>
        </w:rPr>
        <w:t>from 2018/19 to 2021/22 in relation to the existing and historic capital programmes</w:t>
      </w:r>
      <w:r w:rsidR="001F1868">
        <w:rPr>
          <w:rFonts w:cs="Arial"/>
          <w:szCs w:val="24"/>
        </w:rPr>
        <w:t xml:space="preserve"> as a proportion of the 2018/19 net revenue budget of £168.9m</w:t>
      </w:r>
      <w:r w:rsidR="00C609E9">
        <w:rPr>
          <w:rFonts w:cs="Arial"/>
          <w:szCs w:val="24"/>
        </w:rPr>
        <w:t xml:space="preserve">. </w:t>
      </w:r>
    </w:p>
    <w:p w:rsidR="0001568D" w:rsidRDefault="0001568D" w:rsidP="00A26B10">
      <w:pPr>
        <w:tabs>
          <w:tab w:val="num" w:pos="1985"/>
        </w:tabs>
        <w:spacing w:after="120"/>
        <w:jc w:val="both"/>
        <w:rPr>
          <w:rFonts w:cs="Arial"/>
          <w:szCs w:val="24"/>
        </w:rPr>
      </w:pPr>
    </w:p>
    <w:p w:rsidR="0001568D" w:rsidRDefault="0001568D" w:rsidP="00A26B10">
      <w:pPr>
        <w:tabs>
          <w:tab w:val="num" w:pos="1985"/>
        </w:tabs>
        <w:spacing w:after="120"/>
        <w:jc w:val="both"/>
        <w:rPr>
          <w:rFonts w:cs="Arial"/>
          <w:szCs w:val="24"/>
        </w:rPr>
      </w:pPr>
    </w:p>
    <w:p w:rsidR="0001568D" w:rsidRDefault="0001568D" w:rsidP="00A26B10">
      <w:pPr>
        <w:tabs>
          <w:tab w:val="num" w:pos="1985"/>
        </w:tabs>
        <w:spacing w:after="120"/>
        <w:jc w:val="both"/>
        <w:rPr>
          <w:rFonts w:cs="Arial"/>
          <w:szCs w:val="24"/>
        </w:rPr>
      </w:pPr>
    </w:p>
    <w:p w:rsidR="0001568D" w:rsidRDefault="0001568D" w:rsidP="00A26B10">
      <w:pPr>
        <w:tabs>
          <w:tab w:val="num" w:pos="1985"/>
        </w:tabs>
        <w:spacing w:after="120"/>
        <w:jc w:val="both"/>
        <w:rPr>
          <w:rFonts w:cs="Arial"/>
          <w:szCs w:val="24"/>
        </w:rPr>
      </w:pPr>
    </w:p>
    <w:p w:rsidR="0001568D" w:rsidRDefault="0001568D" w:rsidP="00A26B10">
      <w:pPr>
        <w:tabs>
          <w:tab w:val="num" w:pos="1985"/>
        </w:tabs>
        <w:spacing w:after="120"/>
        <w:jc w:val="both"/>
        <w:rPr>
          <w:rFonts w:cs="Arial"/>
          <w:szCs w:val="24"/>
        </w:rPr>
      </w:pPr>
    </w:p>
    <w:p w:rsidR="00C609E9" w:rsidRPr="00EA216C" w:rsidRDefault="00EB0149" w:rsidP="00A26B10">
      <w:pPr>
        <w:pStyle w:val="ListParagraph"/>
        <w:rPr>
          <w:rFonts w:cs="Arial"/>
          <w:b/>
          <w:szCs w:val="24"/>
        </w:rPr>
      </w:pPr>
      <w:r w:rsidRPr="00EA216C">
        <w:rPr>
          <w:rFonts w:cs="Arial"/>
          <w:b/>
          <w:szCs w:val="24"/>
        </w:rPr>
        <w:t>Table 1</w:t>
      </w:r>
      <w:r w:rsidR="00914951">
        <w:rPr>
          <w:rFonts w:cs="Arial"/>
          <w:b/>
          <w:szCs w:val="24"/>
        </w:rPr>
        <w:t xml:space="preserve"> - </w:t>
      </w:r>
      <w:r w:rsidRPr="00EA216C">
        <w:rPr>
          <w:rFonts w:cs="Arial"/>
          <w:b/>
          <w:szCs w:val="24"/>
        </w:rPr>
        <w:t xml:space="preserve">Capital Financing </w:t>
      </w:r>
      <w:r w:rsidR="006716D2" w:rsidRPr="00EA216C">
        <w:rPr>
          <w:rFonts w:cs="Arial"/>
          <w:b/>
          <w:szCs w:val="24"/>
        </w:rPr>
        <w:t>C</w:t>
      </w:r>
      <w:r w:rsidRPr="00EA216C">
        <w:rPr>
          <w:rFonts w:cs="Arial"/>
          <w:b/>
          <w:szCs w:val="24"/>
        </w:rPr>
        <w:t xml:space="preserve">osts as % of </w:t>
      </w:r>
      <w:r w:rsidR="006716D2" w:rsidRPr="00EA216C">
        <w:rPr>
          <w:rFonts w:cs="Arial"/>
          <w:b/>
          <w:szCs w:val="24"/>
        </w:rPr>
        <w:t>the N</w:t>
      </w:r>
      <w:r w:rsidRPr="00EA216C">
        <w:rPr>
          <w:rFonts w:cs="Arial"/>
          <w:b/>
          <w:szCs w:val="24"/>
        </w:rPr>
        <w:t xml:space="preserve">et </w:t>
      </w:r>
      <w:r w:rsidR="006716D2" w:rsidRPr="00EA216C">
        <w:rPr>
          <w:rFonts w:cs="Arial"/>
          <w:b/>
          <w:szCs w:val="24"/>
        </w:rPr>
        <w:t>R</w:t>
      </w:r>
      <w:r w:rsidRPr="00EA216C">
        <w:rPr>
          <w:rFonts w:cs="Arial"/>
          <w:b/>
          <w:szCs w:val="24"/>
        </w:rPr>
        <w:t xml:space="preserve">evenue </w:t>
      </w:r>
      <w:r w:rsidR="006716D2" w:rsidRPr="00EA216C">
        <w:rPr>
          <w:rFonts w:cs="Arial"/>
          <w:b/>
          <w:szCs w:val="24"/>
        </w:rPr>
        <w:t>B</w:t>
      </w:r>
      <w:r w:rsidRPr="00EA216C">
        <w:rPr>
          <w:rFonts w:cs="Arial"/>
          <w:b/>
          <w:szCs w:val="24"/>
        </w:rPr>
        <w:t>udget</w:t>
      </w:r>
    </w:p>
    <w:tbl>
      <w:tblPr>
        <w:tblStyle w:val="TableGrid"/>
        <w:tblW w:w="0" w:type="auto"/>
        <w:tblInd w:w="720" w:type="dxa"/>
        <w:tblLook w:val="04A0" w:firstRow="1" w:lastRow="0" w:firstColumn="1" w:lastColumn="0" w:noHBand="0" w:noVBand="1"/>
      </w:tblPr>
      <w:tblGrid>
        <w:gridCol w:w="1937"/>
        <w:gridCol w:w="2749"/>
        <w:gridCol w:w="2901"/>
      </w:tblGrid>
      <w:tr w:rsidR="006716D2" w:rsidTr="00EA216C">
        <w:trPr>
          <w:trHeight w:val="801"/>
        </w:trPr>
        <w:tc>
          <w:tcPr>
            <w:tcW w:w="1937" w:type="dxa"/>
          </w:tcPr>
          <w:p w:rsidR="002E11D9" w:rsidRDefault="002E11D9">
            <w:pPr>
              <w:pStyle w:val="ListParagraph"/>
              <w:ind w:left="0"/>
              <w:rPr>
                <w:rFonts w:cs="Arial"/>
                <w:szCs w:val="24"/>
              </w:rPr>
            </w:pPr>
          </w:p>
        </w:tc>
        <w:tc>
          <w:tcPr>
            <w:tcW w:w="2749" w:type="dxa"/>
          </w:tcPr>
          <w:p w:rsidR="002E11D9" w:rsidRDefault="002E11D9" w:rsidP="00A26B10">
            <w:pPr>
              <w:pStyle w:val="ListParagraph"/>
              <w:ind w:left="0"/>
              <w:jc w:val="center"/>
              <w:rPr>
                <w:rFonts w:cs="Arial"/>
                <w:szCs w:val="24"/>
              </w:rPr>
            </w:pPr>
            <w:r>
              <w:rPr>
                <w:rFonts w:cs="Arial"/>
                <w:szCs w:val="24"/>
              </w:rPr>
              <w:t>Capital Financing Costs</w:t>
            </w:r>
          </w:p>
        </w:tc>
        <w:tc>
          <w:tcPr>
            <w:tcW w:w="2901" w:type="dxa"/>
          </w:tcPr>
          <w:p w:rsidR="002E11D9" w:rsidRPr="002E11D9" w:rsidRDefault="002E11D9" w:rsidP="00A26B10">
            <w:pPr>
              <w:pStyle w:val="ListParagraph"/>
              <w:ind w:left="0"/>
              <w:jc w:val="center"/>
              <w:rPr>
                <w:rFonts w:cs="Arial"/>
                <w:szCs w:val="24"/>
              </w:rPr>
            </w:pPr>
            <w:r w:rsidRPr="00A26B10">
              <w:rPr>
                <w:rFonts w:cs="Arial"/>
                <w:szCs w:val="24"/>
              </w:rPr>
              <w:t>Capital financing costs a</w:t>
            </w:r>
            <w:r w:rsidRPr="002E11D9">
              <w:rPr>
                <w:rFonts w:cs="Arial"/>
                <w:szCs w:val="24"/>
              </w:rPr>
              <w:t>s % of 2018/19 Net Budget</w:t>
            </w:r>
          </w:p>
        </w:tc>
      </w:tr>
      <w:tr w:rsidR="002E11D9" w:rsidTr="00EA216C">
        <w:trPr>
          <w:trHeight w:val="271"/>
        </w:trPr>
        <w:tc>
          <w:tcPr>
            <w:tcW w:w="1937" w:type="dxa"/>
          </w:tcPr>
          <w:p w:rsidR="005B5926" w:rsidRDefault="005B5926">
            <w:pPr>
              <w:pStyle w:val="ListParagraph"/>
              <w:ind w:left="0"/>
              <w:rPr>
                <w:rFonts w:cs="Arial"/>
                <w:szCs w:val="24"/>
              </w:rPr>
            </w:pPr>
          </w:p>
        </w:tc>
        <w:tc>
          <w:tcPr>
            <w:tcW w:w="2749" w:type="dxa"/>
          </w:tcPr>
          <w:p w:rsidR="005B5926" w:rsidRDefault="002E11D9" w:rsidP="00A26B10">
            <w:pPr>
              <w:pStyle w:val="ListParagraph"/>
              <w:ind w:left="0"/>
              <w:jc w:val="center"/>
              <w:rPr>
                <w:rFonts w:cs="Arial"/>
                <w:szCs w:val="24"/>
              </w:rPr>
            </w:pPr>
            <w:r>
              <w:rPr>
                <w:rFonts w:cs="Arial"/>
                <w:szCs w:val="24"/>
              </w:rPr>
              <w:t>£m</w:t>
            </w:r>
          </w:p>
        </w:tc>
        <w:tc>
          <w:tcPr>
            <w:tcW w:w="2901" w:type="dxa"/>
          </w:tcPr>
          <w:p w:rsidR="005B5926" w:rsidRDefault="002E11D9" w:rsidP="00A26B10">
            <w:pPr>
              <w:pStyle w:val="ListParagraph"/>
              <w:ind w:left="0"/>
              <w:jc w:val="center"/>
              <w:rPr>
                <w:rFonts w:cs="Arial"/>
                <w:szCs w:val="24"/>
              </w:rPr>
            </w:pPr>
            <w:r>
              <w:rPr>
                <w:rFonts w:cs="Arial"/>
                <w:szCs w:val="24"/>
              </w:rPr>
              <w:t>%</w:t>
            </w:r>
          </w:p>
        </w:tc>
      </w:tr>
      <w:tr w:rsidR="002E11D9" w:rsidTr="00EA216C">
        <w:trPr>
          <w:trHeight w:val="259"/>
        </w:trPr>
        <w:tc>
          <w:tcPr>
            <w:tcW w:w="1937" w:type="dxa"/>
          </w:tcPr>
          <w:p w:rsidR="005B5926" w:rsidRDefault="002E11D9">
            <w:pPr>
              <w:pStyle w:val="ListParagraph"/>
              <w:ind w:left="0"/>
              <w:rPr>
                <w:rFonts w:cs="Arial"/>
                <w:szCs w:val="24"/>
              </w:rPr>
            </w:pPr>
            <w:r>
              <w:rPr>
                <w:rFonts w:cs="Arial"/>
                <w:szCs w:val="24"/>
              </w:rPr>
              <w:t>2018/19</w:t>
            </w:r>
          </w:p>
        </w:tc>
        <w:tc>
          <w:tcPr>
            <w:tcW w:w="2749" w:type="dxa"/>
          </w:tcPr>
          <w:p w:rsidR="005B5926" w:rsidRDefault="002E11D9" w:rsidP="00A26B10">
            <w:pPr>
              <w:pStyle w:val="ListParagraph"/>
              <w:ind w:left="0"/>
              <w:jc w:val="center"/>
              <w:rPr>
                <w:rFonts w:cs="Arial"/>
                <w:szCs w:val="24"/>
              </w:rPr>
            </w:pPr>
            <w:r>
              <w:rPr>
                <w:rFonts w:cs="Arial"/>
                <w:szCs w:val="24"/>
              </w:rPr>
              <w:t>24.6</w:t>
            </w:r>
          </w:p>
        </w:tc>
        <w:tc>
          <w:tcPr>
            <w:tcW w:w="2901" w:type="dxa"/>
          </w:tcPr>
          <w:p w:rsidR="005B5926" w:rsidRDefault="002E11D9" w:rsidP="00A26B10">
            <w:pPr>
              <w:pStyle w:val="ListParagraph"/>
              <w:ind w:left="0"/>
              <w:jc w:val="center"/>
              <w:rPr>
                <w:rFonts w:cs="Arial"/>
                <w:szCs w:val="24"/>
              </w:rPr>
            </w:pPr>
            <w:r>
              <w:rPr>
                <w:rFonts w:cs="Arial"/>
                <w:szCs w:val="24"/>
              </w:rPr>
              <w:t>15%</w:t>
            </w:r>
          </w:p>
        </w:tc>
      </w:tr>
      <w:tr w:rsidR="002E11D9" w:rsidTr="00EA216C">
        <w:trPr>
          <w:trHeight w:val="271"/>
        </w:trPr>
        <w:tc>
          <w:tcPr>
            <w:tcW w:w="1937" w:type="dxa"/>
          </w:tcPr>
          <w:p w:rsidR="005B5926" w:rsidRDefault="002E11D9">
            <w:pPr>
              <w:pStyle w:val="ListParagraph"/>
              <w:ind w:left="0"/>
              <w:rPr>
                <w:rFonts w:cs="Arial"/>
                <w:szCs w:val="24"/>
              </w:rPr>
            </w:pPr>
            <w:r>
              <w:rPr>
                <w:rFonts w:cs="Arial"/>
                <w:szCs w:val="24"/>
              </w:rPr>
              <w:t>2019/20</w:t>
            </w:r>
          </w:p>
        </w:tc>
        <w:tc>
          <w:tcPr>
            <w:tcW w:w="2749" w:type="dxa"/>
          </w:tcPr>
          <w:p w:rsidR="005B5926" w:rsidRDefault="002E11D9" w:rsidP="00A26B10">
            <w:pPr>
              <w:pStyle w:val="ListParagraph"/>
              <w:ind w:left="0"/>
              <w:jc w:val="center"/>
              <w:rPr>
                <w:rFonts w:cs="Arial"/>
                <w:szCs w:val="24"/>
              </w:rPr>
            </w:pPr>
            <w:r>
              <w:rPr>
                <w:rFonts w:cs="Arial"/>
                <w:szCs w:val="24"/>
              </w:rPr>
              <w:t>32.6</w:t>
            </w:r>
          </w:p>
        </w:tc>
        <w:tc>
          <w:tcPr>
            <w:tcW w:w="2901" w:type="dxa"/>
          </w:tcPr>
          <w:p w:rsidR="005B5926" w:rsidRDefault="002E11D9" w:rsidP="00A26B10">
            <w:pPr>
              <w:pStyle w:val="ListParagraph"/>
              <w:ind w:left="0"/>
              <w:jc w:val="center"/>
              <w:rPr>
                <w:rFonts w:cs="Arial"/>
                <w:szCs w:val="24"/>
              </w:rPr>
            </w:pPr>
            <w:r>
              <w:rPr>
                <w:rFonts w:cs="Arial"/>
                <w:szCs w:val="24"/>
              </w:rPr>
              <w:t>19%</w:t>
            </w:r>
          </w:p>
        </w:tc>
      </w:tr>
      <w:tr w:rsidR="002E11D9" w:rsidTr="00EA216C">
        <w:trPr>
          <w:trHeight w:val="271"/>
        </w:trPr>
        <w:tc>
          <w:tcPr>
            <w:tcW w:w="1937" w:type="dxa"/>
          </w:tcPr>
          <w:p w:rsidR="005B5926" w:rsidRDefault="002E11D9">
            <w:pPr>
              <w:pStyle w:val="ListParagraph"/>
              <w:ind w:left="0"/>
              <w:rPr>
                <w:rFonts w:cs="Arial"/>
                <w:szCs w:val="24"/>
              </w:rPr>
            </w:pPr>
            <w:r>
              <w:rPr>
                <w:rFonts w:cs="Arial"/>
                <w:szCs w:val="24"/>
              </w:rPr>
              <w:t>2020/21</w:t>
            </w:r>
          </w:p>
        </w:tc>
        <w:tc>
          <w:tcPr>
            <w:tcW w:w="2749" w:type="dxa"/>
          </w:tcPr>
          <w:p w:rsidR="005B5926" w:rsidRDefault="002E11D9" w:rsidP="00A26B10">
            <w:pPr>
              <w:pStyle w:val="ListParagraph"/>
              <w:ind w:left="0"/>
              <w:jc w:val="center"/>
              <w:rPr>
                <w:rFonts w:cs="Arial"/>
                <w:szCs w:val="24"/>
              </w:rPr>
            </w:pPr>
            <w:r>
              <w:rPr>
                <w:rFonts w:cs="Arial"/>
                <w:szCs w:val="24"/>
              </w:rPr>
              <w:t>33.8</w:t>
            </w:r>
          </w:p>
        </w:tc>
        <w:tc>
          <w:tcPr>
            <w:tcW w:w="2901" w:type="dxa"/>
          </w:tcPr>
          <w:p w:rsidR="005B5926" w:rsidRDefault="002E11D9" w:rsidP="00A26B10">
            <w:pPr>
              <w:pStyle w:val="ListParagraph"/>
              <w:ind w:left="0"/>
              <w:jc w:val="center"/>
              <w:rPr>
                <w:rFonts w:cs="Arial"/>
                <w:szCs w:val="24"/>
              </w:rPr>
            </w:pPr>
            <w:r>
              <w:rPr>
                <w:rFonts w:cs="Arial"/>
                <w:szCs w:val="24"/>
              </w:rPr>
              <w:t>20%</w:t>
            </w:r>
          </w:p>
        </w:tc>
      </w:tr>
      <w:tr w:rsidR="002E11D9" w:rsidTr="00EA216C">
        <w:trPr>
          <w:trHeight w:val="271"/>
        </w:trPr>
        <w:tc>
          <w:tcPr>
            <w:tcW w:w="1937" w:type="dxa"/>
          </w:tcPr>
          <w:p w:rsidR="005B5926" w:rsidRDefault="002E11D9">
            <w:pPr>
              <w:pStyle w:val="ListParagraph"/>
              <w:ind w:left="0"/>
              <w:rPr>
                <w:rFonts w:cs="Arial"/>
                <w:szCs w:val="24"/>
              </w:rPr>
            </w:pPr>
            <w:r>
              <w:rPr>
                <w:rFonts w:cs="Arial"/>
                <w:szCs w:val="24"/>
              </w:rPr>
              <w:t>2021/22</w:t>
            </w:r>
          </w:p>
        </w:tc>
        <w:tc>
          <w:tcPr>
            <w:tcW w:w="2749" w:type="dxa"/>
          </w:tcPr>
          <w:p w:rsidR="005B5926" w:rsidRDefault="002E11D9" w:rsidP="00A26B10">
            <w:pPr>
              <w:pStyle w:val="ListParagraph"/>
              <w:ind w:left="0"/>
              <w:jc w:val="center"/>
              <w:rPr>
                <w:rFonts w:cs="Arial"/>
                <w:szCs w:val="24"/>
              </w:rPr>
            </w:pPr>
            <w:r>
              <w:rPr>
                <w:rFonts w:cs="Arial"/>
                <w:szCs w:val="24"/>
              </w:rPr>
              <w:t>35.7</w:t>
            </w:r>
          </w:p>
        </w:tc>
        <w:tc>
          <w:tcPr>
            <w:tcW w:w="2901" w:type="dxa"/>
          </w:tcPr>
          <w:p w:rsidR="005B5926" w:rsidRDefault="002E11D9" w:rsidP="00A26B10">
            <w:pPr>
              <w:pStyle w:val="ListParagraph"/>
              <w:ind w:left="0"/>
              <w:jc w:val="center"/>
              <w:rPr>
                <w:rFonts w:cs="Arial"/>
                <w:szCs w:val="24"/>
              </w:rPr>
            </w:pPr>
            <w:r>
              <w:rPr>
                <w:rFonts w:cs="Arial"/>
                <w:szCs w:val="24"/>
              </w:rPr>
              <w:t>21%</w:t>
            </w:r>
          </w:p>
        </w:tc>
      </w:tr>
    </w:tbl>
    <w:p w:rsidR="005B5926" w:rsidRDefault="005B5926" w:rsidP="00A26B10">
      <w:pPr>
        <w:pStyle w:val="ListParagraph"/>
        <w:rPr>
          <w:rFonts w:cs="Arial"/>
          <w:szCs w:val="24"/>
        </w:rPr>
      </w:pPr>
    </w:p>
    <w:p w:rsidR="005E1647" w:rsidRDefault="00B67C31" w:rsidP="00EA216C">
      <w:pPr>
        <w:tabs>
          <w:tab w:val="left" w:pos="567"/>
        </w:tabs>
        <w:rPr>
          <w:rFonts w:cs="Arial"/>
          <w:b/>
          <w:szCs w:val="24"/>
        </w:rPr>
      </w:pPr>
      <w:r>
        <w:rPr>
          <w:rFonts w:cs="Arial"/>
          <w:szCs w:val="24"/>
        </w:rPr>
        <w:tab/>
      </w:r>
      <w:r w:rsidR="005E1647" w:rsidRPr="00A26B10">
        <w:rPr>
          <w:rFonts w:cs="Arial"/>
          <w:b/>
          <w:szCs w:val="24"/>
        </w:rPr>
        <w:t xml:space="preserve">New Capital </w:t>
      </w:r>
      <w:r w:rsidRPr="00A26B10">
        <w:rPr>
          <w:rFonts w:cs="Arial"/>
          <w:b/>
          <w:szCs w:val="24"/>
        </w:rPr>
        <w:t>proposals</w:t>
      </w:r>
      <w:r w:rsidR="005E1647">
        <w:rPr>
          <w:rFonts w:cs="Arial"/>
          <w:b/>
          <w:szCs w:val="24"/>
        </w:rPr>
        <w:t xml:space="preserve"> put forward 2019/20 to 2020/21</w:t>
      </w:r>
    </w:p>
    <w:p w:rsidR="005E1647" w:rsidRDefault="006716D2" w:rsidP="00A26B10">
      <w:pPr>
        <w:pStyle w:val="ListParagraph"/>
        <w:numPr>
          <w:ilvl w:val="0"/>
          <w:numId w:val="27"/>
        </w:numPr>
        <w:tabs>
          <w:tab w:val="clear" w:pos="360"/>
          <w:tab w:val="left" w:pos="426"/>
          <w:tab w:val="num" w:pos="567"/>
        </w:tabs>
        <w:ind w:left="567" w:hanging="567"/>
        <w:rPr>
          <w:rFonts w:cs="Arial"/>
          <w:szCs w:val="24"/>
        </w:rPr>
      </w:pPr>
      <w:r>
        <w:rPr>
          <w:rFonts w:cs="Arial"/>
          <w:szCs w:val="24"/>
        </w:rPr>
        <w:t xml:space="preserve">  </w:t>
      </w:r>
      <w:r w:rsidR="005E1647" w:rsidRPr="00FE40AF">
        <w:rPr>
          <w:rFonts w:cs="Arial"/>
          <w:szCs w:val="24"/>
        </w:rPr>
        <w:t xml:space="preserve">A </w:t>
      </w:r>
      <w:r w:rsidR="005E1647">
        <w:rPr>
          <w:rFonts w:cs="Arial"/>
          <w:szCs w:val="24"/>
        </w:rPr>
        <w:t xml:space="preserve">schedule of </w:t>
      </w:r>
      <w:r w:rsidR="005E1647" w:rsidRPr="00FE40AF">
        <w:rPr>
          <w:rFonts w:cs="Arial"/>
          <w:szCs w:val="24"/>
        </w:rPr>
        <w:t xml:space="preserve">the new proposed projects within the programme for 2019/20 and 2020/21 is detailed in appendix 1 and summarised in Table </w:t>
      </w:r>
      <w:r w:rsidR="00EB0149">
        <w:rPr>
          <w:rFonts w:cs="Arial"/>
          <w:szCs w:val="24"/>
        </w:rPr>
        <w:t>2</w:t>
      </w:r>
      <w:r w:rsidR="005E1647" w:rsidRPr="00FE40AF">
        <w:rPr>
          <w:rFonts w:cs="Arial"/>
          <w:szCs w:val="24"/>
        </w:rPr>
        <w:t xml:space="preserve"> b</w:t>
      </w:r>
      <w:r w:rsidR="005E1647" w:rsidRPr="007F1122">
        <w:rPr>
          <w:rFonts w:cs="Arial"/>
          <w:szCs w:val="24"/>
        </w:rPr>
        <w:t>elow:</w:t>
      </w:r>
    </w:p>
    <w:p w:rsidR="00272CC5" w:rsidRPr="00FE40AF" w:rsidRDefault="00272CC5" w:rsidP="00A26B10">
      <w:pPr>
        <w:pStyle w:val="ListParagraph"/>
        <w:tabs>
          <w:tab w:val="left" w:pos="426"/>
        </w:tabs>
        <w:ind w:left="360"/>
        <w:rPr>
          <w:rFonts w:cs="Arial"/>
          <w:szCs w:val="24"/>
        </w:rPr>
      </w:pPr>
    </w:p>
    <w:p w:rsidR="005E1647" w:rsidRDefault="005E1647" w:rsidP="005E1647">
      <w:pPr>
        <w:ind w:left="567"/>
        <w:jc w:val="both"/>
        <w:rPr>
          <w:rFonts w:cs="Arial"/>
          <w:b/>
          <w:szCs w:val="24"/>
        </w:rPr>
      </w:pPr>
      <w:r w:rsidRPr="00EA216C">
        <w:rPr>
          <w:rFonts w:cs="Arial"/>
          <w:b/>
          <w:szCs w:val="24"/>
        </w:rPr>
        <w:t xml:space="preserve">Table </w:t>
      </w:r>
      <w:r w:rsidR="00EB0149" w:rsidRPr="00EA216C">
        <w:rPr>
          <w:rFonts w:cs="Arial"/>
          <w:b/>
          <w:szCs w:val="24"/>
        </w:rPr>
        <w:t>2</w:t>
      </w:r>
      <w:r w:rsidRPr="00EA216C">
        <w:rPr>
          <w:rFonts w:cs="Arial"/>
          <w:b/>
          <w:szCs w:val="24"/>
        </w:rPr>
        <w:t xml:space="preserve"> – Summary new Capital bids 2019/20 to 2020/21</w:t>
      </w:r>
    </w:p>
    <w:p w:rsidR="00B772CA" w:rsidRDefault="00B772CA" w:rsidP="005E1647">
      <w:pPr>
        <w:ind w:left="567"/>
        <w:jc w:val="both"/>
        <w:rPr>
          <w:rFonts w:cs="Arial"/>
          <w:b/>
          <w:szCs w:val="24"/>
        </w:rPr>
      </w:pPr>
      <w:r w:rsidRPr="00B772CA">
        <w:rPr>
          <w:noProof/>
          <w:lang w:eastAsia="en-GB"/>
        </w:rPr>
        <w:drawing>
          <wp:inline distT="0" distB="0" distL="0" distR="0" wp14:anchorId="55605D14" wp14:editId="6CDFACD1">
            <wp:extent cx="5340404" cy="4564316"/>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9080" cy="4563185"/>
                    </a:xfrm>
                    <a:prstGeom prst="rect">
                      <a:avLst/>
                    </a:prstGeom>
                    <a:noFill/>
                    <a:ln>
                      <a:noFill/>
                    </a:ln>
                  </pic:spPr>
                </pic:pic>
              </a:graphicData>
            </a:graphic>
          </wp:inline>
        </w:drawing>
      </w:r>
    </w:p>
    <w:p w:rsidR="005E1647" w:rsidRDefault="005E1647" w:rsidP="005E1647">
      <w:pPr>
        <w:ind w:left="567"/>
        <w:jc w:val="both"/>
        <w:rPr>
          <w:rFonts w:cs="Arial"/>
          <w:szCs w:val="24"/>
        </w:rPr>
      </w:pPr>
    </w:p>
    <w:p w:rsidR="005E1647" w:rsidRDefault="005E1647" w:rsidP="005E1647">
      <w:pPr>
        <w:ind w:left="567"/>
        <w:jc w:val="both"/>
        <w:rPr>
          <w:rFonts w:cs="Arial"/>
          <w:szCs w:val="24"/>
        </w:rPr>
      </w:pPr>
    </w:p>
    <w:p w:rsidR="005E1647" w:rsidRPr="00FE40AF" w:rsidRDefault="005E1647" w:rsidP="005E1647">
      <w:pPr>
        <w:pStyle w:val="ListParagraph"/>
        <w:numPr>
          <w:ilvl w:val="0"/>
          <w:numId w:val="27"/>
        </w:numPr>
        <w:spacing w:after="200"/>
        <w:rPr>
          <w:rFonts w:cs="Arial"/>
          <w:szCs w:val="24"/>
        </w:rPr>
      </w:pPr>
      <w:r w:rsidRPr="002A4BBF">
        <w:t>The gross value of the proposed General Fund programme is £</w:t>
      </w:r>
      <w:r>
        <w:t>4</w:t>
      </w:r>
      <w:r w:rsidR="00B772CA">
        <w:t>1</w:t>
      </w:r>
      <w:r>
        <w:t>.</w:t>
      </w:r>
      <w:r w:rsidR="00B772CA">
        <w:t>848</w:t>
      </w:r>
      <w:r>
        <w:t>m</w:t>
      </w:r>
      <w:r w:rsidRPr="002A4BBF">
        <w:t xml:space="preserve">, with external funding </w:t>
      </w:r>
      <w:r w:rsidRPr="00365F4B">
        <w:t>of £3.259m and a net increase in the programme of £3</w:t>
      </w:r>
      <w:r w:rsidR="00B772CA">
        <w:t>8</w:t>
      </w:r>
      <w:r w:rsidRPr="00365F4B">
        <w:t>.</w:t>
      </w:r>
      <w:r w:rsidR="00B772CA">
        <w:t>589</w:t>
      </w:r>
      <w:r w:rsidRPr="00365F4B">
        <w:t xml:space="preserve">m.  </w:t>
      </w:r>
    </w:p>
    <w:p w:rsidR="005E1647" w:rsidRDefault="005E1647" w:rsidP="005E1647">
      <w:pPr>
        <w:numPr>
          <w:ilvl w:val="0"/>
          <w:numId w:val="27"/>
        </w:numPr>
        <w:tabs>
          <w:tab w:val="num" w:pos="1985"/>
        </w:tabs>
        <w:jc w:val="both"/>
        <w:rPr>
          <w:rFonts w:cs="Arial"/>
          <w:szCs w:val="24"/>
        </w:rPr>
      </w:pPr>
      <w:r>
        <w:rPr>
          <w:rFonts w:cs="Arial"/>
          <w:szCs w:val="24"/>
        </w:rPr>
        <w:t xml:space="preserve">When bids were invited for 2019/20 and 2020/21, it was on the basis that they would be either funded from external funding or generate revenue savings which would as a minimum, cover the capital financing costs so </w:t>
      </w:r>
      <w:r>
        <w:rPr>
          <w:rFonts w:cs="Arial"/>
          <w:szCs w:val="24"/>
        </w:rPr>
        <w:lastRenderedPageBreak/>
        <w:t xml:space="preserve">there would be no net revenue impact to the Council as a result of any additional </w:t>
      </w:r>
      <w:r w:rsidRPr="000603F8">
        <w:rPr>
          <w:rFonts w:cs="Arial"/>
          <w:szCs w:val="24"/>
        </w:rPr>
        <w:t>borrowing</w:t>
      </w:r>
      <w:r>
        <w:rPr>
          <w:rFonts w:cs="Arial"/>
          <w:szCs w:val="24"/>
        </w:rPr>
        <w:t xml:space="preserve"> required. </w:t>
      </w:r>
      <w:r w:rsidRPr="000603F8">
        <w:rPr>
          <w:rFonts w:cs="Arial"/>
          <w:szCs w:val="24"/>
        </w:rPr>
        <w:t xml:space="preserve"> </w:t>
      </w:r>
    </w:p>
    <w:p w:rsidR="005E1647" w:rsidRDefault="005E1647" w:rsidP="00A26B10">
      <w:pPr>
        <w:tabs>
          <w:tab w:val="num" w:pos="1985"/>
        </w:tabs>
        <w:ind w:left="360"/>
        <w:jc w:val="both"/>
        <w:rPr>
          <w:rFonts w:cs="Arial"/>
          <w:szCs w:val="24"/>
        </w:rPr>
      </w:pPr>
    </w:p>
    <w:p w:rsidR="005E1647" w:rsidRDefault="005E1647" w:rsidP="005E1647">
      <w:pPr>
        <w:numPr>
          <w:ilvl w:val="0"/>
          <w:numId w:val="27"/>
        </w:numPr>
        <w:tabs>
          <w:tab w:val="num" w:pos="1985"/>
        </w:tabs>
        <w:jc w:val="both"/>
        <w:rPr>
          <w:rFonts w:cs="Arial"/>
          <w:szCs w:val="24"/>
        </w:rPr>
      </w:pPr>
      <w:r>
        <w:rPr>
          <w:rFonts w:cs="Arial"/>
          <w:szCs w:val="24"/>
        </w:rPr>
        <w:t xml:space="preserve">However, after allowing for those schemes which generate a revenue contribution, those schemes which are externally funded and those schemes which </w:t>
      </w:r>
      <w:r w:rsidR="00272CC5">
        <w:rPr>
          <w:rFonts w:cs="Arial"/>
          <w:szCs w:val="24"/>
        </w:rPr>
        <w:t>could</w:t>
      </w:r>
      <w:r>
        <w:rPr>
          <w:rFonts w:cs="Arial"/>
          <w:szCs w:val="24"/>
        </w:rPr>
        <w:t xml:space="preserve"> be funded from Borough CIL, there is a residual capital financing cost from the remaining schemes of £1.194m</w:t>
      </w:r>
      <w:r w:rsidR="00EB0149">
        <w:rPr>
          <w:rFonts w:cs="Arial"/>
          <w:szCs w:val="24"/>
        </w:rPr>
        <w:t>, which is set out in the table below</w:t>
      </w:r>
      <w:r>
        <w:rPr>
          <w:rFonts w:cs="Arial"/>
          <w:szCs w:val="24"/>
        </w:rPr>
        <w:t>.  Th</w:t>
      </w:r>
      <w:r w:rsidR="002E11D9">
        <w:rPr>
          <w:rFonts w:cs="Arial"/>
          <w:szCs w:val="24"/>
        </w:rPr>
        <w:t xml:space="preserve">ere is therefore a question over </w:t>
      </w:r>
      <w:r>
        <w:rPr>
          <w:rFonts w:cs="Arial"/>
          <w:szCs w:val="24"/>
        </w:rPr>
        <w:t>affordab</w:t>
      </w:r>
      <w:r w:rsidR="002E11D9">
        <w:rPr>
          <w:rFonts w:cs="Arial"/>
          <w:szCs w:val="24"/>
        </w:rPr>
        <w:t>ility</w:t>
      </w:r>
      <w:r>
        <w:rPr>
          <w:rFonts w:cs="Arial"/>
          <w:szCs w:val="24"/>
        </w:rPr>
        <w:t xml:space="preserve"> given the existing budg</w:t>
      </w:r>
      <w:r w:rsidR="006716D2">
        <w:rPr>
          <w:rFonts w:cs="Arial"/>
          <w:szCs w:val="24"/>
        </w:rPr>
        <w:t>et gaps in the Revenue Budget for 2020/21 and 2021/22 of £13.</w:t>
      </w:r>
      <w:r w:rsidR="00817270">
        <w:rPr>
          <w:rFonts w:cs="Arial"/>
          <w:szCs w:val="24"/>
        </w:rPr>
        <w:t>5</w:t>
      </w:r>
      <w:r w:rsidR="006716D2">
        <w:rPr>
          <w:rFonts w:cs="Arial"/>
          <w:szCs w:val="24"/>
        </w:rPr>
        <w:t>m and £9.</w:t>
      </w:r>
      <w:r w:rsidR="00EA216C">
        <w:rPr>
          <w:rFonts w:cs="Arial"/>
          <w:szCs w:val="24"/>
        </w:rPr>
        <w:t>3</w:t>
      </w:r>
      <w:r w:rsidR="006716D2">
        <w:rPr>
          <w:rFonts w:cs="Arial"/>
          <w:szCs w:val="24"/>
        </w:rPr>
        <w:t>m.</w:t>
      </w:r>
    </w:p>
    <w:p w:rsidR="00EB0149" w:rsidRDefault="00EB0149" w:rsidP="00A26B10">
      <w:pPr>
        <w:pStyle w:val="ListParagraph"/>
        <w:rPr>
          <w:rFonts w:cs="Arial"/>
          <w:szCs w:val="24"/>
        </w:rPr>
      </w:pPr>
    </w:p>
    <w:p w:rsidR="00EB0149" w:rsidRPr="00EA216C" w:rsidRDefault="00EB0149" w:rsidP="00EB0149">
      <w:pPr>
        <w:spacing w:after="120"/>
        <w:ind w:firstLine="360"/>
        <w:jc w:val="both"/>
        <w:rPr>
          <w:rFonts w:cs="Arial"/>
          <w:b/>
          <w:bCs/>
          <w:szCs w:val="24"/>
        </w:rPr>
      </w:pPr>
      <w:r w:rsidRPr="00EA216C">
        <w:rPr>
          <w:rFonts w:cs="Arial"/>
          <w:b/>
          <w:bCs/>
          <w:szCs w:val="24"/>
        </w:rPr>
        <w:t>Table 3</w:t>
      </w:r>
      <w:r w:rsidR="00914951">
        <w:rPr>
          <w:rFonts w:cs="Arial"/>
          <w:b/>
          <w:bCs/>
          <w:szCs w:val="24"/>
        </w:rPr>
        <w:t xml:space="preserve"> - </w:t>
      </w:r>
      <w:r w:rsidRPr="00EA216C">
        <w:rPr>
          <w:rFonts w:cs="Arial"/>
          <w:b/>
          <w:bCs/>
          <w:szCs w:val="24"/>
        </w:rPr>
        <w:t>Capital Financing Implications of New Additions</w:t>
      </w:r>
    </w:p>
    <w:tbl>
      <w:tblPr>
        <w:tblW w:w="6237" w:type="dxa"/>
        <w:tblInd w:w="534" w:type="dxa"/>
        <w:tblLayout w:type="fixed"/>
        <w:tblLook w:val="04A0" w:firstRow="1" w:lastRow="0" w:firstColumn="1" w:lastColumn="0" w:noHBand="0" w:noVBand="1"/>
      </w:tblPr>
      <w:tblGrid>
        <w:gridCol w:w="4110"/>
        <w:gridCol w:w="2127"/>
      </w:tblGrid>
      <w:tr w:rsidR="00EB0149" w:rsidRPr="006716D2" w:rsidTr="00A26B10">
        <w:trPr>
          <w:trHeight w:val="645"/>
        </w:trPr>
        <w:tc>
          <w:tcPr>
            <w:tcW w:w="4110" w:type="dxa"/>
            <w:tcBorders>
              <w:top w:val="single" w:sz="8" w:space="0" w:color="auto"/>
              <w:left w:val="single" w:sz="8" w:space="0" w:color="auto"/>
              <w:bottom w:val="nil"/>
              <w:right w:val="single" w:sz="8" w:space="0" w:color="auto"/>
            </w:tcBorders>
            <w:shd w:val="clear" w:color="auto" w:fill="D9D9D9" w:themeFill="background1" w:themeFillShade="D9"/>
            <w:vAlign w:val="center"/>
            <w:hideMark/>
          </w:tcPr>
          <w:p w:rsidR="00EB0149" w:rsidRPr="006716D2" w:rsidRDefault="00EB0149" w:rsidP="003005D7">
            <w:pPr>
              <w:rPr>
                <w:rFonts w:cs="Arial"/>
                <w:b/>
                <w:bCs/>
                <w:sz w:val="22"/>
                <w:szCs w:val="22"/>
                <w:lang w:eastAsia="en-GB"/>
              </w:rPr>
            </w:pPr>
            <w:r w:rsidRPr="006716D2">
              <w:rPr>
                <w:rFonts w:cs="Arial"/>
                <w:b/>
                <w:bCs/>
                <w:sz w:val="22"/>
                <w:szCs w:val="22"/>
                <w:lang w:eastAsia="en-GB"/>
              </w:rPr>
              <w:t>Capital Financing Costs</w:t>
            </w:r>
          </w:p>
        </w:tc>
        <w:tc>
          <w:tcPr>
            <w:tcW w:w="2127" w:type="dxa"/>
            <w:tcBorders>
              <w:top w:val="single" w:sz="8" w:space="0" w:color="auto"/>
              <w:left w:val="nil"/>
              <w:bottom w:val="nil"/>
              <w:right w:val="single" w:sz="8" w:space="0" w:color="auto"/>
            </w:tcBorders>
            <w:shd w:val="clear" w:color="auto" w:fill="D9D9D9" w:themeFill="background1" w:themeFillShade="D9"/>
            <w:vAlign w:val="center"/>
            <w:hideMark/>
          </w:tcPr>
          <w:p w:rsidR="00EB0149" w:rsidRPr="006716D2" w:rsidRDefault="00EB0149" w:rsidP="003005D7">
            <w:pPr>
              <w:jc w:val="right"/>
              <w:rPr>
                <w:rFonts w:cs="Arial"/>
                <w:b/>
                <w:bCs/>
                <w:sz w:val="22"/>
                <w:szCs w:val="22"/>
                <w:lang w:eastAsia="en-GB"/>
              </w:rPr>
            </w:pPr>
            <w:r w:rsidRPr="006716D2">
              <w:rPr>
                <w:rFonts w:cs="Arial"/>
                <w:b/>
                <w:bCs/>
                <w:sz w:val="22"/>
                <w:szCs w:val="22"/>
                <w:lang w:eastAsia="en-GB"/>
              </w:rPr>
              <w:t>Annual costs</w:t>
            </w:r>
          </w:p>
        </w:tc>
      </w:tr>
      <w:tr w:rsidR="00EB0149" w:rsidRPr="006716D2" w:rsidTr="003005D7">
        <w:trPr>
          <w:trHeight w:val="279"/>
        </w:trPr>
        <w:tc>
          <w:tcPr>
            <w:tcW w:w="4110" w:type="dxa"/>
            <w:tcBorders>
              <w:top w:val="single" w:sz="8" w:space="0" w:color="auto"/>
              <w:left w:val="single" w:sz="8" w:space="0" w:color="auto"/>
              <w:bottom w:val="nil"/>
              <w:right w:val="single" w:sz="8" w:space="0" w:color="auto"/>
            </w:tcBorders>
            <w:shd w:val="clear" w:color="auto" w:fill="auto"/>
            <w:vAlign w:val="center"/>
            <w:hideMark/>
          </w:tcPr>
          <w:p w:rsidR="00EB0149" w:rsidRPr="006716D2" w:rsidRDefault="00EB0149" w:rsidP="00A26B10">
            <w:pPr>
              <w:spacing w:after="120"/>
              <w:ind w:firstLine="360"/>
              <w:jc w:val="both"/>
              <w:rPr>
                <w:rFonts w:cs="Arial"/>
                <w:b/>
                <w:bCs/>
                <w:sz w:val="22"/>
                <w:szCs w:val="22"/>
                <w:lang w:eastAsia="en-GB"/>
              </w:rPr>
            </w:pPr>
            <w:r w:rsidRPr="006716D2">
              <w:rPr>
                <w:rFonts w:cs="Arial"/>
                <w:b/>
                <w:bCs/>
                <w:sz w:val="22"/>
                <w:szCs w:val="22"/>
                <w:lang w:eastAsia="en-GB"/>
              </w:rPr>
              <w:t> </w:t>
            </w:r>
          </w:p>
        </w:tc>
        <w:tc>
          <w:tcPr>
            <w:tcW w:w="2127" w:type="dxa"/>
            <w:tcBorders>
              <w:top w:val="single" w:sz="8" w:space="0" w:color="auto"/>
              <w:left w:val="nil"/>
              <w:bottom w:val="nil"/>
              <w:right w:val="single" w:sz="8" w:space="0" w:color="auto"/>
            </w:tcBorders>
            <w:shd w:val="clear" w:color="auto" w:fill="auto"/>
            <w:vAlign w:val="center"/>
            <w:hideMark/>
          </w:tcPr>
          <w:p w:rsidR="00EB0149" w:rsidRPr="006716D2" w:rsidRDefault="00EB0149" w:rsidP="003005D7">
            <w:pPr>
              <w:jc w:val="right"/>
              <w:rPr>
                <w:rFonts w:cs="Arial"/>
                <w:b/>
                <w:bCs/>
                <w:sz w:val="22"/>
                <w:szCs w:val="22"/>
                <w:lang w:eastAsia="en-GB"/>
              </w:rPr>
            </w:pPr>
            <w:r w:rsidRPr="006716D2">
              <w:rPr>
                <w:rFonts w:cs="Arial"/>
                <w:b/>
                <w:bCs/>
                <w:sz w:val="22"/>
                <w:szCs w:val="22"/>
                <w:lang w:eastAsia="en-GB"/>
              </w:rPr>
              <w:t>£000</w:t>
            </w:r>
          </w:p>
        </w:tc>
      </w:tr>
      <w:tr w:rsidR="00EB0149" w:rsidRPr="006716D2"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0149" w:rsidRPr="00A26B10" w:rsidRDefault="00EB0149" w:rsidP="003005D7">
            <w:pPr>
              <w:ind w:hanging="108"/>
              <w:rPr>
                <w:rFonts w:cs="Arial"/>
                <w:bCs/>
                <w:sz w:val="22"/>
                <w:szCs w:val="22"/>
                <w:lang w:eastAsia="en-GB"/>
              </w:rPr>
            </w:pPr>
            <w:r w:rsidRPr="00A26B10">
              <w:rPr>
                <w:rFonts w:cs="Arial"/>
                <w:bCs/>
                <w:sz w:val="22"/>
                <w:szCs w:val="22"/>
                <w:lang w:eastAsia="en-GB"/>
              </w:rPr>
              <w:t xml:space="preserve"> </w:t>
            </w:r>
            <w:r w:rsidR="006716D2">
              <w:rPr>
                <w:rFonts w:cs="Arial"/>
                <w:bCs/>
                <w:sz w:val="22"/>
                <w:szCs w:val="22"/>
                <w:lang w:eastAsia="en-GB"/>
              </w:rPr>
              <w:t xml:space="preserve"> </w:t>
            </w:r>
            <w:r w:rsidRPr="00A26B10">
              <w:rPr>
                <w:rFonts w:cs="Arial"/>
                <w:bCs/>
                <w:sz w:val="22"/>
                <w:szCs w:val="22"/>
                <w:lang w:eastAsia="en-GB"/>
              </w:rPr>
              <w:t>Minimum Revenue   Provision (MRP)</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B0149" w:rsidRPr="00A26B10" w:rsidRDefault="00EB0149" w:rsidP="003005D7">
            <w:pPr>
              <w:jc w:val="right"/>
              <w:rPr>
                <w:rFonts w:cs="Arial"/>
                <w:bCs/>
                <w:sz w:val="22"/>
                <w:szCs w:val="22"/>
                <w:lang w:eastAsia="en-GB"/>
              </w:rPr>
            </w:pPr>
            <w:r w:rsidRPr="00A26B10">
              <w:rPr>
                <w:rFonts w:cs="Arial"/>
                <w:bCs/>
                <w:sz w:val="22"/>
                <w:szCs w:val="22"/>
                <w:lang w:eastAsia="en-GB"/>
              </w:rPr>
              <w:t>2,074</w:t>
            </w:r>
          </w:p>
        </w:tc>
      </w:tr>
      <w:tr w:rsidR="00EB0149" w:rsidRPr="006716D2" w:rsidTr="00A26B10">
        <w:trPr>
          <w:trHeight w:val="279"/>
        </w:trPr>
        <w:tc>
          <w:tcPr>
            <w:tcW w:w="41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0149" w:rsidRPr="00A26B10" w:rsidRDefault="00EB0149" w:rsidP="003005D7">
            <w:pPr>
              <w:rPr>
                <w:rFonts w:cs="Arial"/>
                <w:bCs/>
                <w:sz w:val="22"/>
                <w:szCs w:val="22"/>
                <w:lang w:eastAsia="en-GB"/>
              </w:rPr>
            </w:pPr>
            <w:r w:rsidRPr="00A26B10">
              <w:rPr>
                <w:rFonts w:cs="Arial"/>
                <w:bCs/>
                <w:sz w:val="22"/>
                <w:szCs w:val="22"/>
                <w:lang w:eastAsia="en-GB"/>
              </w:rPr>
              <w:t>Interest</w:t>
            </w:r>
          </w:p>
        </w:tc>
        <w:tc>
          <w:tcPr>
            <w:tcW w:w="2127" w:type="dxa"/>
            <w:tcBorders>
              <w:top w:val="single" w:sz="8" w:space="0" w:color="auto"/>
              <w:left w:val="nil"/>
              <w:bottom w:val="single" w:sz="8" w:space="0" w:color="auto"/>
              <w:right w:val="single" w:sz="8" w:space="0" w:color="auto"/>
            </w:tcBorders>
            <w:shd w:val="clear" w:color="auto" w:fill="auto"/>
            <w:vAlign w:val="center"/>
            <w:hideMark/>
          </w:tcPr>
          <w:p w:rsidR="00EB0149" w:rsidRPr="00A26B10" w:rsidRDefault="00EB0149" w:rsidP="003005D7">
            <w:pPr>
              <w:jc w:val="right"/>
              <w:rPr>
                <w:rFonts w:cs="Arial"/>
                <w:bCs/>
                <w:sz w:val="22"/>
                <w:szCs w:val="22"/>
                <w:lang w:eastAsia="en-GB"/>
              </w:rPr>
            </w:pPr>
            <w:r w:rsidRPr="00A26B10">
              <w:rPr>
                <w:rFonts w:cs="Arial"/>
                <w:bCs/>
                <w:sz w:val="22"/>
                <w:szCs w:val="22"/>
                <w:lang w:eastAsia="en-GB"/>
              </w:rPr>
              <w:t>1,158</w:t>
            </w:r>
          </w:p>
        </w:tc>
      </w:tr>
      <w:tr w:rsidR="00EB0149" w:rsidRPr="006716D2"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B0149" w:rsidRPr="00A26B10" w:rsidRDefault="00EB0149" w:rsidP="003005D7">
            <w:pPr>
              <w:rPr>
                <w:rFonts w:cs="Arial"/>
                <w:bCs/>
                <w:sz w:val="22"/>
                <w:szCs w:val="22"/>
                <w:lang w:eastAsia="en-GB"/>
              </w:rPr>
            </w:pPr>
            <w:r w:rsidRPr="00A26B10">
              <w:rPr>
                <w:rFonts w:cs="Arial"/>
                <w:bCs/>
                <w:sz w:val="22"/>
                <w:szCs w:val="22"/>
                <w:lang w:eastAsia="en-GB"/>
              </w:rPr>
              <w:t>Total Capital Financing Costs</w:t>
            </w:r>
          </w:p>
        </w:tc>
        <w:tc>
          <w:tcPr>
            <w:tcW w:w="2127" w:type="dxa"/>
            <w:tcBorders>
              <w:top w:val="single" w:sz="8" w:space="0" w:color="auto"/>
              <w:left w:val="nil"/>
              <w:bottom w:val="single" w:sz="4" w:space="0" w:color="auto"/>
              <w:right w:val="single" w:sz="8" w:space="0" w:color="auto"/>
            </w:tcBorders>
            <w:shd w:val="clear" w:color="auto" w:fill="auto"/>
            <w:vAlign w:val="center"/>
            <w:hideMark/>
          </w:tcPr>
          <w:p w:rsidR="00EB0149" w:rsidRPr="00A26B10" w:rsidRDefault="00EB0149" w:rsidP="003005D7">
            <w:pPr>
              <w:jc w:val="right"/>
              <w:rPr>
                <w:rFonts w:cs="Arial"/>
                <w:bCs/>
                <w:sz w:val="22"/>
                <w:szCs w:val="22"/>
                <w:lang w:eastAsia="en-GB"/>
              </w:rPr>
            </w:pPr>
            <w:r w:rsidRPr="00A26B10">
              <w:rPr>
                <w:rFonts w:cs="Arial"/>
                <w:bCs/>
                <w:sz w:val="22"/>
                <w:szCs w:val="22"/>
                <w:lang w:eastAsia="en-GB"/>
              </w:rPr>
              <w:t>3,232</w:t>
            </w:r>
          </w:p>
        </w:tc>
      </w:tr>
      <w:tr w:rsidR="00EB0149" w:rsidRPr="006716D2"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tcPr>
          <w:p w:rsidR="00EB0149" w:rsidRPr="00A26B10" w:rsidRDefault="00EB0149" w:rsidP="003005D7">
            <w:pPr>
              <w:rPr>
                <w:rFonts w:cs="Arial"/>
                <w:bCs/>
                <w:sz w:val="22"/>
                <w:szCs w:val="22"/>
                <w:lang w:eastAsia="en-GB"/>
              </w:rPr>
            </w:pPr>
            <w:r w:rsidRPr="00A26B10">
              <w:rPr>
                <w:rFonts w:cs="Arial"/>
                <w:bCs/>
                <w:sz w:val="22"/>
                <w:szCs w:val="22"/>
                <w:lang w:eastAsia="en-GB"/>
              </w:rPr>
              <w:t>Schemes eligible for CIL</w:t>
            </w:r>
          </w:p>
        </w:tc>
        <w:tc>
          <w:tcPr>
            <w:tcW w:w="2127" w:type="dxa"/>
            <w:tcBorders>
              <w:top w:val="single" w:sz="8" w:space="0" w:color="auto"/>
              <w:left w:val="nil"/>
              <w:bottom w:val="single" w:sz="4" w:space="0" w:color="auto"/>
              <w:right w:val="single" w:sz="8" w:space="0" w:color="auto"/>
            </w:tcBorders>
            <w:shd w:val="clear" w:color="auto" w:fill="auto"/>
            <w:vAlign w:val="center"/>
          </w:tcPr>
          <w:p w:rsidR="00EB0149" w:rsidRPr="00A26B10" w:rsidRDefault="00EB0149" w:rsidP="003005D7">
            <w:pPr>
              <w:jc w:val="right"/>
              <w:rPr>
                <w:rFonts w:cs="Arial"/>
                <w:bCs/>
                <w:sz w:val="22"/>
                <w:szCs w:val="22"/>
                <w:lang w:eastAsia="en-GB"/>
              </w:rPr>
            </w:pPr>
            <w:r w:rsidRPr="00A26B10">
              <w:rPr>
                <w:rFonts w:cs="Arial"/>
                <w:bCs/>
                <w:sz w:val="22"/>
                <w:szCs w:val="22"/>
                <w:lang w:eastAsia="en-GB"/>
              </w:rPr>
              <w:t>(508)</w:t>
            </w:r>
          </w:p>
        </w:tc>
      </w:tr>
      <w:tr w:rsidR="00EB0149" w:rsidRPr="006716D2"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auto"/>
            <w:vAlign w:val="center"/>
          </w:tcPr>
          <w:p w:rsidR="00EB0149" w:rsidRPr="00A26B10" w:rsidRDefault="00EB0149" w:rsidP="003005D7">
            <w:pPr>
              <w:rPr>
                <w:rFonts w:cs="Arial"/>
                <w:bCs/>
                <w:sz w:val="22"/>
                <w:szCs w:val="22"/>
                <w:lang w:eastAsia="en-GB"/>
              </w:rPr>
            </w:pPr>
            <w:r w:rsidRPr="00A26B10">
              <w:rPr>
                <w:rFonts w:cs="Arial"/>
                <w:bCs/>
                <w:sz w:val="22"/>
                <w:szCs w:val="22"/>
                <w:lang w:eastAsia="en-GB"/>
              </w:rPr>
              <w:t>Invest to save income</w:t>
            </w:r>
          </w:p>
        </w:tc>
        <w:tc>
          <w:tcPr>
            <w:tcW w:w="2127" w:type="dxa"/>
            <w:tcBorders>
              <w:top w:val="single" w:sz="8" w:space="0" w:color="auto"/>
              <w:left w:val="nil"/>
              <w:bottom w:val="single" w:sz="4" w:space="0" w:color="auto"/>
              <w:right w:val="single" w:sz="8" w:space="0" w:color="auto"/>
            </w:tcBorders>
            <w:shd w:val="clear" w:color="auto" w:fill="auto"/>
            <w:vAlign w:val="center"/>
          </w:tcPr>
          <w:p w:rsidR="00EB0149" w:rsidRPr="00A26B10" w:rsidRDefault="00EB0149" w:rsidP="003005D7">
            <w:pPr>
              <w:jc w:val="right"/>
              <w:rPr>
                <w:rFonts w:cs="Arial"/>
                <w:bCs/>
                <w:sz w:val="22"/>
                <w:szCs w:val="22"/>
                <w:lang w:eastAsia="en-GB"/>
              </w:rPr>
            </w:pPr>
            <w:r w:rsidRPr="00A26B10">
              <w:rPr>
                <w:rFonts w:cs="Arial"/>
                <w:bCs/>
                <w:sz w:val="22"/>
                <w:szCs w:val="22"/>
                <w:lang w:eastAsia="en-GB"/>
              </w:rPr>
              <w:t>(1,530)</w:t>
            </w:r>
          </w:p>
        </w:tc>
      </w:tr>
      <w:tr w:rsidR="00EB0149" w:rsidRPr="006716D2" w:rsidTr="00A26B10">
        <w:trPr>
          <w:trHeight w:val="335"/>
        </w:trPr>
        <w:tc>
          <w:tcPr>
            <w:tcW w:w="4110"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rsidR="00EB0149" w:rsidRPr="006716D2" w:rsidRDefault="00EB0149" w:rsidP="003005D7">
            <w:pPr>
              <w:rPr>
                <w:rFonts w:cs="Arial"/>
                <w:b/>
                <w:bCs/>
                <w:sz w:val="22"/>
                <w:szCs w:val="22"/>
                <w:lang w:eastAsia="en-GB"/>
              </w:rPr>
            </w:pPr>
            <w:r w:rsidRPr="006716D2">
              <w:rPr>
                <w:rFonts w:cs="Arial"/>
                <w:b/>
                <w:bCs/>
                <w:sz w:val="22"/>
                <w:szCs w:val="22"/>
                <w:lang w:eastAsia="en-GB"/>
              </w:rPr>
              <w:t>Net impact on Revenue Budget</w:t>
            </w:r>
          </w:p>
        </w:tc>
        <w:tc>
          <w:tcPr>
            <w:tcW w:w="2127"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rsidR="00EB0149" w:rsidRPr="006716D2" w:rsidRDefault="00EB0149" w:rsidP="003005D7">
            <w:pPr>
              <w:jc w:val="right"/>
              <w:rPr>
                <w:rFonts w:cs="Arial"/>
                <w:b/>
                <w:bCs/>
                <w:sz w:val="22"/>
                <w:szCs w:val="22"/>
                <w:lang w:eastAsia="en-GB"/>
              </w:rPr>
            </w:pPr>
            <w:r w:rsidRPr="006716D2">
              <w:rPr>
                <w:rFonts w:cs="Arial"/>
                <w:b/>
                <w:bCs/>
                <w:sz w:val="22"/>
                <w:szCs w:val="22"/>
                <w:lang w:eastAsia="en-GB"/>
              </w:rPr>
              <w:t>1,194</w:t>
            </w:r>
          </w:p>
        </w:tc>
      </w:tr>
    </w:tbl>
    <w:p w:rsidR="00EB0149" w:rsidRDefault="00EB0149" w:rsidP="00A26B10">
      <w:pPr>
        <w:tabs>
          <w:tab w:val="num" w:pos="1985"/>
        </w:tabs>
        <w:ind w:left="360"/>
        <w:jc w:val="both"/>
        <w:rPr>
          <w:rFonts w:cs="Arial"/>
          <w:szCs w:val="24"/>
        </w:rPr>
      </w:pPr>
    </w:p>
    <w:p w:rsidR="00914951" w:rsidRDefault="00914951" w:rsidP="00A26B10">
      <w:pPr>
        <w:pStyle w:val="ListParagraph"/>
        <w:ind w:hanging="294"/>
        <w:rPr>
          <w:rFonts w:cs="Arial"/>
          <w:b/>
          <w:szCs w:val="24"/>
        </w:rPr>
      </w:pPr>
    </w:p>
    <w:p w:rsidR="000D1B48" w:rsidRPr="00A26B10" w:rsidRDefault="000D1B48" w:rsidP="00A26B10">
      <w:pPr>
        <w:pStyle w:val="ListParagraph"/>
        <w:ind w:hanging="294"/>
        <w:rPr>
          <w:rFonts w:cs="Arial"/>
          <w:b/>
          <w:szCs w:val="24"/>
        </w:rPr>
      </w:pPr>
      <w:r w:rsidRPr="00A26B10">
        <w:rPr>
          <w:rFonts w:cs="Arial"/>
          <w:b/>
          <w:szCs w:val="24"/>
        </w:rPr>
        <w:t>Review of the existing Capital Programme and new Proposals</w:t>
      </w:r>
    </w:p>
    <w:p w:rsidR="002E11D9" w:rsidRDefault="005E1647">
      <w:pPr>
        <w:pStyle w:val="ListParagraph"/>
        <w:numPr>
          <w:ilvl w:val="0"/>
          <w:numId w:val="27"/>
        </w:numPr>
        <w:spacing w:after="200"/>
        <w:rPr>
          <w:rFonts w:cs="Arial"/>
          <w:szCs w:val="24"/>
        </w:rPr>
      </w:pPr>
      <w:r w:rsidRPr="002E11D9">
        <w:rPr>
          <w:rFonts w:cs="Arial"/>
          <w:szCs w:val="24"/>
        </w:rPr>
        <w:t xml:space="preserve"> </w:t>
      </w:r>
      <w:r w:rsidR="000D1B48" w:rsidRPr="002E11D9">
        <w:rPr>
          <w:rFonts w:cs="Arial"/>
          <w:szCs w:val="24"/>
        </w:rPr>
        <w:t xml:space="preserve">Since inviting Directorates to put forward new capital proposals earlier in the year, the Council is now developing principles for defining </w:t>
      </w:r>
      <w:r w:rsidR="0001568D" w:rsidRPr="002E11D9">
        <w:rPr>
          <w:rFonts w:cs="Arial"/>
          <w:szCs w:val="24"/>
        </w:rPr>
        <w:t xml:space="preserve">what Council services in Harrow should look like </w:t>
      </w:r>
      <w:r w:rsidR="002E11D9">
        <w:rPr>
          <w:rFonts w:cs="Arial"/>
          <w:szCs w:val="24"/>
        </w:rPr>
        <w:t>g</w:t>
      </w:r>
      <w:r w:rsidR="000D1B48" w:rsidRPr="002E11D9">
        <w:rPr>
          <w:rFonts w:cs="Arial"/>
          <w:szCs w:val="24"/>
        </w:rPr>
        <w:t>iven the current budget gaps</w:t>
      </w:r>
      <w:r w:rsidR="006716D2">
        <w:rPr>
          <w:rFonts w:cs="Arial"/>
          <w:szCs w:val="24"/>
        </w:rPr>
        <w:t xml:space="preserve"> in the Revenue Budget.</w:t>
      </w:r>
    </w:p>
    <w:p w:rsidR="002E11D9" w:rsidRDefault="002E11D9" w:rsidP="00A26B10">
      <w:pPr>
        <w:pStyle w:val="ListParagraph"/>
        <w:spacing w:after="200"/>
        <w:ind w:left="360"/>
        <w:rPr>
          <w:rFonts w:cs="Arial"/>
          <w:szCs w:val="24"/>
        </w:rPr>
      </w:pPr>
    </w:p>
    <w:p w:rsidR="000D1B48" w:rsidRPr="002E11D9" w:rsidRDefault="002E11D9">
      <w:pPr>
        <w:pStyle w:val="ListParagraph"/>
        <w:numPr>
          <w:ilvl w:val="0"/>
          <w:numId w:val="27"/>
        </w:numPr>
        <w:spacing w:after="200"/>
        <w:rPr>
          <w:rFonts w:cs="Arial"/>
          <w:szCs w:val="24"/>
        </w:rPr>
      </w:pPr>
      <w:r>
        <w:rPr>
          <w:rFonts w:cs="Arial"/>
          <w:szCs w:val="24"/>
        </w:rPr>
        <w:t>Therefore</w:t>
      </w:r>
      <w:r w:rsidR="0001568D" w:rsidRPr="002E11D9">
        <w:rPr>
          <w:rFonts w:cs="Arial"/>
          <w:szCs w:val="24"/>
        </w:rPr>
        <w:t xml:space="preserve">, </w:t>
      </w:r>
      <w:r>
        <w:rPr>
          <w:rFonts w:cs="Arial"/>
          <w:szCs w:val="24"/>
        </w:rPr>
        <w:t xml:space="preserve">given that </w:t>
      </w:r>
      <w:r w:rsidR="0001568D" w:rsidRPr="002E11D9">
        <w:rPr>
          <w:rFonts w:cs="Arial"/>
          <w:szCs w:val="24"/>
        </w:rPr>
        <w:t xml:space="preserve">a review of all </w:t>
      </w:r>
      <w:r w:rsidR="000D1B48" w:rsidRPr="002E11D9">
        <w:rPr>
          <w:rFonts w:cs="Arial"/>
          <w:szCs w:val="24"/>
        </w:rPr>
        <w:t>revenue services</w:t>
      </w:r>
      <w:r w:rsidR="00EB0149" w:rsidRPr="002E11D9">
        <w:rPr>
          <w:rFonts w:cs="Arial"/>
          <w:szCs w:val="24"/>
        </w:rPr>
        <w:t xml:space="preserve"> </w:t>
      </w:r>
      <w:r>
        <w:rPr>
          <w:rFonts w:cs="Arial"/>
          <w:szCs w:val="24"/>
        </w:rPr>
        <w:t xml:space="preserve">will take place </w:t>
      </w:r>
      <w:r w:rsidR="00EB0149" w:rsidRPr="002E11D9">
        <w:rPr>
          <w:rFonts w:cs="Arial"/>
          <w:szCs w:val="24"/>
        </w:rPr>
        <w:t xml:space="preserve">and </w:t>
      </w:r>
      <w:r>
        <w:rPr>
          <w:rFonts w:cs="Arial"/>
          <w:szCs w:val="24"/>
        </w:rPr>
        <w:t xml:space="preserve">also considering </w:t>
      </w:r>
      <w:r w:rsidR="00EB0149" w:rsidRPr="002E11D9">
        <w:rPr>
          <w:rFonts w:cs="Arial"/>
          <w:szCs w:val="24"/>
        </w:rPr>
        <w:t>the increasing value of capital financing costs as a proportion of the net revenue budget</w:t>
      </w:r>
      <w:r w:rsidR="000D1B48" w:rsidRPr="002E11D9">
        <w:rPr>
          <w:rFonts w:cs="Arial"/>
          <w:szCs w:val="24"/>
        </w:rPr>
        <w:t xml:space="preserve">, it is appropriate to </w:t>
      </w:r>
      <w:r w:rsidR="0001568D" w:rsidRPr="002E11D9">
        <w:rPr>
          <w:rFonts w:cs="Arial"/>
          <w:szCs w:val="24"/>
        </w:rPr>
        <w:t xml:space="preserve">carry out the same review and </w:t>
      </w:r>
      <w:r w:rsidR="000D1B48" w:rsidRPr="002E11D9">
        <w:rPr>
          <w:rFonts w:cs="Arial"/>
          <w:szCs w:val="24"/>
        </w:rPr>
        <w:t xml:space="preserve">apply </w:t>
      </w:r>
      <w:r w:rsidR="0001568D" w:rsidRPr="002E11D9">
        <w:rPr>
          <w:rFonts w:cs="Arial"/>
          <w:szCs w:val="24"/>
        </w:rPr>
        <w:t xml:space="preserve">some </w:t>
      </w:r>
      <w:r w:rsidR="000D1B48" w:rsidRPr="002E11D9">
        <w:rPr>
          <w:rFonts w:cs="Arial"/>
          <w:szCs w:val="24"/>
        </w:rPr>
        <w:t>principles to the existing and new Capital Programme proposals</w:t>
      </w:r>
      <w:r w:rsidR="00FE40AF" w:rsidRPr="002E11D9">
        <w:rPr>
          <w:rFonts w:cs="Arial"/>
          <w:szCs w:val="24"/>
        </w:rPr>
        <w:t>.  The aim of this review will be to</w:t>
      </w:r>
      <w:r w:rsidR="00EB0149" w:rsidRPr="002E11D9">
        <w:rPr>
          <w:rFonts w:cs="Arial"/>
          <w:szCs w:val="24"/>
        </w:rPr>
        <w:t xml:space="preserve"> </w:t>
      </w:r>
      <w:r w:rsidR="000D1B48" w:rsidRPr="002E11D9">
        <w:rPr>
          <w:rFonts w:cs="Arial"/>
          <w:szCs w:val="24"/>
        </w:rPr>
        <w:t xml:space="preserve">set a revised </w:t>
      </w:r>
      <w:r>
        <w:rPr>
          <w:rFonts w:cs="Arial"/>
          <w:szCs w:val="24"/>
        </w:rPr>
        <w:t xml:space="preserve">affordable </w:t>
      </w:r>
      <w:r w:rsidR="000D1B48" w:rsidRPr="002E11D9">
        <w:rPr>
          <w:rFonts w:cs="Arial"/>
          <w:szCs w:val="24"/>
        </w:rPr>
        <w:t>Capital Programme with reduced capital financing costs which can contribute towards the existing budget gaps in 2020/21 to 2021/22.</w:t>
      </w:r>
    </w:p>
    <w:p w:rsidR="00F70007" w:rsidRDefault="00F70007" w:rsidP="00FE40AF">
      <w:pPr>
        <w:pStyle w:val="ListParagraph"/>
        <w:spacing w:after="200"/>
        <w:ind w:left="360"/>
        <w:rPr>
          <w:rFonts w:cs="Arial"/>
          <w:szCs w:val="24"/>
        </w:rPr>
      </w:pPr>
    </w:p>
    <w:p w:rsidR="000D1B48" w:rsidRDefault="00FE40AF" w:rsidP="00F70007">
      <w:pPr>
        <w:pStyle w:val="ListParagraph"/>
        <w:numPr>
          <w:ilvl w:val="0"/>
          <w:numId w:val="27"/>
        </w:numPr>
        <w:spacing w:after="200"/>
        <w:rPr>
          <w:rFonts w:cs="Arial"/>
          <w:szCs w:val="24"/>
        </w:rPr>
      </w:pPr>
      <w:r>
        <w:rPr>
          <w:rFonts w:cs="Arial"/>
          <w:szCs w:val="24"/>
        </w:rPr>
        <w:t>Services</w:t>
      </w:r>
      <w:r w:rsidR="000D1B48">
        <w:rPr>
          <w:rFonts w:cs="Arial"/>
          <w:szCs w:val="24"/>
        </w:rPr>
        <w:t xml:space="preserve"> </w:t>
      </w:r>
      <w:r>
        <w:rPr>
          <w:rFonts w:cs="Arial"/>
          <w:szCs w:val="24"/>
        </w:rPr>
        <w:t xml:space="preserve">have </w:t>
      </w:r>
      <w:r w:rsidR="000D1B48">
        <w:rPr>
          <w:rFonts w:cs="Arial"/>
          <w:szCs w:val="24"/>
        </w:rPr>
        <w:t>put forward capital proposals for 2021/22 in addition to those set out at Appendix 1 for 2019/20 and 2020/21</w:t>
      </w:r>
      <w:r>
        <w:rPr>
          <w:rFonts w:cs="Arial"/>
          <w:szCs w:val="24"/>
        </w:rPr>
        <w:t>.  However</w:t>
      </w:r>
      <w:r w:rsidR="000D1B48">
        <w:rPr>
          <w:rFonts w:cs="Arial"/>
          <w:szCs w:val="24"/>
        </w:rPr>
        <w:t>, t</w:t>
      </w:r>
      <w:r w:rsidR="00E821A4" w:rsidRPr="00F70007">
        <w:rPr>
          <w:rFonts w:cs="Arial"/>
          <w:szCs w:val="24"/>
        </w:rPr>
        <w:t xml:space="preserve">he </w:t>
      </w:r>
      <w:r w:rsidR="002E11D9">
        <w:rPr>
          <w:rFonts w:cs="Arial"/>
          <w:szCs w:val="24"/>
        </w:rPr>
        <w:t>C</w:t>
      </w:r>
      <w:r w:rsidR="00E821A4" w:rsidRPr="00F70007">
        <w:rPr>
          <w:rFonts w:cs="Arial"/>
          <w:szCs w:val="24"/>
        </w:rPr>
        <w:t xml:space="preserve">apital </w:t>
      </w:r>
      <w:r w:rsidR="002E11D9">
        <w:rPr>
          <w:rFonts w:cs="Arial"/>
          <w:szCs w:val="24"/>
        </w:rPr>
        <w:t>P</w:t>
      </w:r>
      <w:r w:rsidR="00B45955" w:rsidRPr="00F70007">
        <w:rPr>
          <w:rFonts w:cs="Arial"/>
          <w:szCs w:val="24"/>
        </w:rPr>
        <w:t xml:space="preserve">rogramme </w:t>
      </w:r>
      <w:r w:rsidR="000D1B48">
        <w:rPr>
          <w:rFonts w:cs="Arial"/>
          <w:szCs w:val="24"/>
        </w:rPr>
        <w:t xml:space="preserve">to be agreed as part of the 2019/20 budget setting </w:t>
      </w:r>
      <w:r w:rsidR="00B45955" w:rsidRPr="00F70007">
        <w:rPr>
          <w:rFonts w:cs="Arial"/>
          <w:szCs w:val="24"/>
        </w:rPr>
        <w:t xml:space="preserve">will </w:t>
      </w:r>
      <w:r w:rsidR="000D1B48">
        <w:rPr>
          <w:rFonts w:cs="Arial"/>
          <w:szCs w:val="24"/>
        </w:rPr>
        <w:t xml:space="preserve">only </w:t>
      </w:r>
      <w:r w:rsidR="00E821A4" w:rsidRPr="00F70007">
        <w:rPr>
          <w:rFonts w:cs="Arial"/>
          <w:szCs w:val="24"/>
        </w:rPr>
        <w:t>extend a</w:t>
      </w:r>
      <w:r w:rsidR="00C3471E">
        <w:rPr>
          <w:rFonts w:cs="Arial"/>
          <w:szCs w:val="24"/>
        </w:rPr>
        <w:t>s</w:t>
      </w:r>
      <w:r w:rsidR="00E821A4" w:rsidRPr="00F70007">
        <w:rPr>
          <w:rFonts w:cs="Arial"/>
          <w:szCs w:val="24"/>
        </w:rPr>
        <w:t xml:space="preserve"> far as 2020/21, and so </w:t>
      </w:r>
      <w:r w:rsidR="00B45955" w:rsidRPr="00F70007">
        <w:rPr>
          <w:rFonts w:cs="Arial"/>
          <w:b/>
          <w:szCs w:val="24"/>
        </w:rPr>
        <w:t xml:space="preserve">there is no </w:t>
      </w:r>
      <w:r w:rsidR="00B45955" w:rsidRPr="00F70007">
        <w:rPr>
          <w:rFonts w:cs="Arial"/>
          <w:szCs w:val="24"/>
        </w:rPr>
        <w:t xml:space="preserve">Capital </w:t>
      </w:r>
      <w:r w:rsidR="002E11D9">
        <w:rPr>
          <w:rFonts w:cs="Arial"/>
          <w:szCs w:val="24"/>
        </w:rPr>
        <w:t>P</w:t>
      </w:r>
      <w:r w:rsidR="00B45955" w:rsidRPr="00F70007">
        <w:rPr>
          <w:rFonts w:cs="Arial"/>
          <w:szCs w:val="24"/>
        </w:rPr>
        <w:t>rogramme being put forward for 2021/22</w:t>
      </w:r>
      <w:r w:rsidR="00E821A4" w:rsidRPr="00F70007">
        <w:rPr>
          <w:rFonts w:cs="Arial"/>
          <w:szCs w:val="24"/>
        </w:rPr>
        <w:t xml:space="preserve"> as part of this year’s </w:t>
      </w:r>
      <w:r w:rsidR="008E2023" w:rsidRPr="00F70007">
        <w:rPr>
          <w:rFonts w:cs="Arial"/>
          <w:szCs w:val="24"/>
        </w:rPr>
        <w:t xml:space="preserve">2019/20 </w:t>
      </w:r>
      <w:r w:rsidR="00E821A4" w:rsidRPr="00F70007">
        <w:rPr>
          <w:rFonts w:cs="Arial"/>
          <w:szCs w:val="24"/>
        </w:rPr>
        <w:t>budget setting process</w:t>
      </w:r>
      <w:r w:rsidR="00B45955" w:rsidRPr="00F70007">
        <w:rPr>
          <w:rFonts w:cs="Arial"/>
          <w:szCs w:val="24"/>
        </w:rPr>
        <w:t>.</w:t>
      </w:r>
    </w:p>
    <w:p w:rsidR="000D1B48" w:rsidRDefault="00F70007" w:rsidP="00A26B10">
      <w:pPr>
        <w:pStyle w:val="ListParagraph"/>
        <w:spacing w:after="200"/>
        <w:ind w:left="360"/>
        <w:rPr>
          <w:rFonts w:cs="Arial"/>
          <w:szCs w:val="24"/>
        </w:rPr>
      </w:pPr>
      <w:r w:rsidRPr="00F70007">
        <w:rPr>
          <w:rFonts w:cs="Arial"/>
          <w:szCs w:val="24"/>
        </w:rPr>
        <w:t xml:space="preserve"> </w:t>
      </w:r>
    </w:p>
    <w:p w:rsidR="00096764" w:rsidRDefault="00E821A4" w:rsidP="00F70007">
      <w:pPr>
        <w:pStyle w:val="ListParagraph"/>
        <w:numPr>
          <w:ilvl w:val="0"/>
          <w:numId w:val="27"/>
        </w:numPr>
        <w:spacing w:after="200"/>
        <w:rPr>
          <w:rFonts w:cs="Arial"/>
          <w:szCs w:val="24"/>
        </w:rPr>
      </w:pPr>
      <w:r w:rsidRPr="00F70007">
        <w:rPr>
          <w:rFonts w:cs="Arial"/>
          <w:szCs w:val="24"/>
        </w:rPr>
        <w:t xml:space="preserve">The Capital programme for 2021/22 will be considered as part of the next </w:t>
      </w:r>
      <w:r w:rsidR="001A6A6D" w:rsidRPr="00F70007">
        <w:rPr>
          <w:rFonts w:cs="Arial"/>
          <w:szCs w:val="24"/>
        </w:rPr>
        <w:t>year’s</w:t>
      </w:r>
      <w:r w:rsidRPr="00F70007">
        <w:rPr>
          <w:rFonts w:cs="Arial"/>
          <w:szCs w:val="24"/>
        </w:rPr>
        <w:t xml:space="preserve"> 2020/21 budget setting process</w:t>
      </w:r>
      <w:r w:rsidR="00BB5180">
        <w:rPr>
          <w:rFonts w:cs="Arial"/>
          <w:szCs w:val="24"/>
        </w:rPr>
        <w:t>.</w:t>
      </w:r>
      <w:r w:rsidR="00474D7D" w:rsidRPr="00F70007">
        <w:rPr>
          <w:rFonts w:cs="Arial"/>
          <w:szCs w:val="24"/>
        </w:rPr>
        <w:t xml:space="preserve">  </w:t>
      </w:r>
    </w:p>
    <w:p w:rsidR="008E2023" w:rsidRPr="00A26B10" w:rsidRDefault="00EB0149" w:rsidP="00A26B10">
      <w:pPr>
        <w:numPr>
          <w:ilvl w:val="0"/>
          <w:numId w:val="27"/>
        </w:numPr>
        <w:tabs>
          <w:tab w:val="clear" w:pos="360"/>
          <w:tab w:val="num" w:pos="993"/>
          <w:tab w:val="num" w:pos="1560"/>
        </w:tabs>
        <w:spacing w:after="240"/>
        <w:ind w:left="426" w:hanging="426"/>
        <w:jc w:val="both"/>
      </w:pPr>
      <w:r>
        <w:t>B</w:t>
      </w:r>
      <w:r w:rsidR="008E2023" w:rsidRPr="00A26B10">
        <w:t xml:space="preserve">etween now and the </w:t>
      </w:r>
      <w:r>
        <w:t xml:space="preserve">Final Capital Programme report being presented to cabinet in February 2019, </w:t>
      </w:r>
      <w:r w:rsidR="008E2023" w:rsidRPr="00A26B10">
        <w:t>it is the intention to review the new proposals in Table 1</w:t>
      </w:r>
      <w:r w:rsidR="00557940">
        <w:t>,</w:t>
      </w:r>
      <w:r w:rsidR="008E2023" w:rsidRPr="00A26B10">
        <w:t xml:space="preserve"> </w:t>
      </w:r>
      <w:r w:rsidR="00557940">
        <w:t xml:space="preserve"> </w:t>
      </w:r>
      <w:r w:rsidR="008E2023" w:rsidRPr="00A26B10">
        <w:t xml:space="preserve">as well as the existing Capital programme for 2019/20 and </w:t>
      </w:r>
      <w:r w:rsidR="008E2023" w:rsidRPr="00A26B10">
        <w:lastRenderedPageBreak/>
        <w:t xml:space="preserve">2020/21, and to put forward proposals to cabinet </w:t>
      </w:r>
      <w:r w:rsidR="001A6A6D" w:rsidRPr="00A26B10">
        <w:t xml:space="preserve">for a 2019/20 to 2020/21 Capital Programme that </w:t>
      </w:r>
      <w:r w:rsidR="00BB5180">
        <w:t xml:space="preserve">are aligned with </w:t>
      </w:r>
      <w:r w:rsidR="008E2023" w:rsidRPr="00A26B10">
        <w:t xml:space="preserve">the </w:t>
      </w:r>
      <w:r w:rsidR="00BB5180">
        <w:t xml:space="preserve">following </w:t>
      </w:r>
      <w:r w:rsidR="008E2023" w:rsidRPr="00A26B10">
        <w:t>principles:</w:t>
      </w:r>
    </w:p>
    <w:p w:rsidR="008E2023" w:rsidRPr="00A26B10" w:rsidRDefault="008E2023" w:rsidP="001A6A6D">
      <w:pPr>
        <w:rPr>
          <w:rFonts w:cs="Arial"/>
          <w:b/>
          <w:szCs w:val="24"/>
        </w:rPr>
      </w:pPr>
      <w:r w:rsidRPr="00A26B10">
        <w:rPr>
          <w:rFonts w:cs="Arial"/>
          <w:sz w:val="22"/>
          <w:szCs w:val="22"/>
        </w:rPr>
        <w:t xml:space="preserve">.  </w:t>
      </w:r>
    </w:p>
    <w:p w:rsidR="008E2023" w:rsidRPr="00A26B10" w:rsidRDefault="008E2023" w:rsidP="008E2023">
      <w:pPr>
        <w:pStyle w:val="ListParagraph"/>
        <w:numPr>
          <w:ilvl w:val="0"/>
          <w:numId w:val="42"/>
        </w:numPr>
        <w:rPr>
          <w:rFonts w:cs="Arial"/>
          <w:szCs w:val="24"/>
        </w:rPr>
      </w:pPr>
      <w:r w:rsidRPr="00A26B10">
        <w:rPr>
          <w:rFonts w:cs="Arial"/>
          <w:szCs w:val="24"/>
        </w:rPr>
        <w:t xml:space="preserve">Is this capital needed to meet a statutory obligation?  Also, is the amount requested the minimum requirement?  </w:t>
      </w:r>
    </w:p>
    <w:p w:rsidR="008E2023" w:rsidRPr="00A26B10" w:rsidRDefault="008E2023" w:rsidP="008E2023">
      <w:pPr>
        <w:pStyle w:val="ListParagraph"/>
        <w:numPr>
          <w:ilvl w:val="0"/>
          <w:numId w:val="42"/>
        </w:numPr>
        <w:rPr>
          <w:rFonts w:cs="Arial"/>
          <w:szCs w:val="24"/>
        </w:rPr>
      </w:pPr>
      <w:r w:rsidRPr="00A26B10">
        <w:rPr>
          <w:rFonts w:cs="Arial"/>
          <w:szCs w:val="24"/>
        </w:rPr>
        <w:t>Is this capital required to operate safely? Also, is the amount requested the minimum requirement?</w:t>
      </w:r>
    </w:p>
    <w:p w:rsidR="008E2023" w:rsidRPr="00A26B10" w:rsidRDefault="008E2023" w:rsidP="008E2023">
      <w:pPr>
        <w:pStyle w:val="ListParagraph"/>
        <w:numPr>
          <w:ilvl w:val="0"/>
          <w:numId w:val="42"/>
        </w:numPr>
        <w:rPr>
          <w:rFonts w:cs="Arial"/>
          <w:szCs w:val="24"/>
        </w:rPr>
      </w:pPr>
      <w:r w:rsidRPr="00A26B10">
        <w:rPr>
          <w:rFonts w:cs="Arial"/>
          <w:szCs w:val="24"/>
        </w:rPr>
        <w:t xml:space="preserve">Does the capital </w:t>
      </w:r>
      <w:r w:rsidR="002E11D9">
        <w:rPr>
          <w:rFonts w:cs="Arial"/>
          <w:szCs w:val="24"/>
        </w:rPr>
        <w:t xml:space="preserve">investment </w:t>
      </w:r>
      <w:r w:rsidRPr="00A26B10">
        <w:rPr>
          <w:rFonts w:cs="Arial"/>
          <w:szCs w:val="24"/>
        </w:rPr>
        <w:t xml:space="preserve">make a </w:t>
      </w:r>
      <w:r w:rsidR="002E11D9">
        <w:rPr>
          <w:rFonts w:cs="Arial"/>
          <w:szCs w:val="24"/>
        </w:rPr>
        <w:t>net</w:t>
      </w:r>
      <w:r w:rsidRPr="00A26B10">
        <w:rPr>
          <w:rFonts w:cs="Arial"/>
          <w:szCs w:val="24"/>
        </w:rPr>
        <w:t xml:space="preserve"> financial contribution to Harrow</w:t>
      </w:r>
      <w:r w:rsidR="002E11D9">
        <w:rPr>
          <w:rFonts w:cs="Arial"/>
          <w:szCs w:val="24"/>
        </w:rPr>
        <w:t xml:space="preserve"> after accounting for all revenue costs (capital financing costs, implementation costs and any ongoing running costs)</w:t>
      </w:r>
      <w:r w:rsidRPr="00A26B10">
        <w:rPr>
          <w:rFonts w:cs="Arial"/>
          <w:szCs w:val="24"/>
        </w:rPr>
        <w:t xml:space="preserve">? </w:t>
      </w:r>
    </w:p>
    <w:p w:rsidR="008E2023" w:rsidRPr="00A26B10" w:rsidRDefault="008E2023" w:rsidP="008E2023">
      <w:pPr>
        <w:pStyle w:val="ListParagraph"/>
        <w:numPr>
          <w:ilvl w:val="0"/>
          <w:numId w:val="42"/>
        </w:numPr>
        <w:rPr>
          <w:rFonts w:cs="Arial"/>
          <w:szCs w:val="24"/>
        </w:rPr>
      </w:pPr>
      <w:r w:rsidRPr="00A26B10">
        <w:rPr>
          <w:rFonts w:cs="Arial"/>
          <w:szCs w:val="24"/>
        </w:rPr>
        <w:t xml:space="preserve">Does the capital </w:t>
      </w:r>
      <w:r w:rsidR="007C120B">
        <w:rPr>
          <w:rFonts w:cs="Arial"/>
          <w:szCs w:val="24"/>
        </w:rPr>
        <w:t>investment generate</w:t>
      </w:r>
      <w:r w:rsidRPr="00A26B10">
        <w:rPr>
          <w:rFonts w:cs="Arial"/>
          <w:szCs w:val="24"/>
        </w:rPr>
        <w:t xml:space="preserve"> additional external funding? </w:t>
      </w:r>
    </w:p>
    <w:p w:rsidR="008E2023" w:rsidRPr="00A26B10" w:rsidRDefault="008E2023" w:rsidP="008E2023">
      <w:pPr>
        <w:pStyle w:val="ListParagraph"/>
        <w:numPr>
          <w:ilvl w:val="0"/>
          <w:numId w:val="42"/>
        </w:numPr>
        <w:rPr>
          <w:rFonts w:cs="Arial"/>
          <w:szCs w:val="24"/>
        </w:rPr>
      </w:pPr>
      <w:r w:rsidRPr="00A26B10">
        <w:rPr>
          <w:rFonts w:cs="Arial"/>
          <w:szCs w:val="24"/>
        </w:rPr>
        <w:t>Is this capital requirement essential to sustain the organisation? Also, is the amount requested the minimum requirement?</w:t>
      </w:r>
    </w:p>
    <w:p w:rsidR="00FE40AF" w:rsidRDefault="00557940" w:rsidP="00FE40AF">
      <w:pPr>
        <w:pStyle w:val="ListParagraph"/>
        <w:numPr>
          <w:ilvl w:val="0"/>
          <w:numId w:val="42"/>
        </w:numPr>
        <w:rPr>
          <w:rFonts w:cs="Arial"/>
          <w:i/>
          <w:szCs w:val="24"/>
        </w:rPr>
      </w:pPr>
      <w:r w:rsidRPr="00F36169">
        <w:rPr>
          <w:rFonts w:cs="Arial"/>
          <w:szCs w:val="24"/>
        </w:rPr>
        <w:t>Where a</w:t>
      </w:r>
      <w:r w:rsidRPr="00557940">
        <w:rPr>
          <w:rFonts w:cs="Arial"/>
          <w:szCs w:val="24"/>
        </w:rPr>
        <w:t xml:space="preserve"> project has already started,</w:t>
      </w:r>
      <w:r>
        <w:rPr>
          <w:rFonts w:cs="Arial"/>
          <w:szCs w:val="24"/>
        </w:rPr>
        <w:t xml:space="preserve"> </w:t>
      </w:r>
      <w:r w:rsidRPr="00F36169">
        <w:rPr>
          <w:rFonts w:cs="Arial"/>
          <w:szCs w:val="24"/>
        </w:rPr>
        <w:t>c</w:t>
      </w:r>
      <w:r w:rsidR="008E2023" w:rsidRPr="00A26B10">
        <w:rPr>
          <w:rFonts w:cs="Arial"/>
          <w:szCs w:val="24"/>
        </w:rPr>
        <w:t>an existing contractual arrangements be re-negotiated?</w:t>
      </w:r>
      <w:r w:rsidR="008E2023" w:rsidRPr="001A6A6D">
        <w:rPr>
          <w:rFonts w:cs="Arial"/>
          <w:i/>
          <w:szCs w:val="24"/>
        </w:rPr>
        <w:t xml:space="preserve"> </w:t>
      </w:r>
    </w:p>
    <w:p w:rsidR="00FE40AF" w:rsidRDefault="00FE40AF" w:rsidP="00A26B10">
      <w:pPr>
        <w:rPr>
          <w:rFonts w:cs="Arial"/>
          <w:i/>
          <w:szCs w:val="24"/>
        </w:rPr>
      </w:pPr>
    </w:p>
    <w:p w:rsidR="00FE40AF" w:rsidRDefault="00FE40AF" w:rsidP="00FE40AF">
      <w:pPr>
        <w:pStyle w:val="ListParagraph"/>
        <w:numPr>
          <w:ilvl w:val="0"/>
          <w:numId w:val="27"/>
        </w:numPr>
        <w:spacing w:after="200"/>
        <w:rPr>
          <w:rFonts w:cs="Arial"/>
          <w:szCs w:val="24"/>
        </w:rPr>
      </w:pPr>
      <w:r>
        <w:rPr>
          <w:rFonts w:cs="Arial"/>
          <w:szCs w:val="24"/>
        </w:rPr>
        <w:t xml:space="preserve">The existing Capital Programme for </w:t>
      </w:r>
      <w:r w:rsidRPr="00A53B9F">
        <w:rPr>
          <w:rFonts w:cs="Arial"/>
          <w:szCs w:val="24"/>
        </w:rPr>
        <w:t>201</w:t>
      </w:r>
      <w:r w:rsidR="00D434AC" w:rsidRPr="00817270">
        <w:rPr>
          <w:rFonts w:cs="Arial"/>
          <w:szCs w:val="24"/>
        </w:rPr>
        <w:t>8</w:t>
      </w:r>
      <w:r w:rsidRPr="00817270">
        <w:rPr>
          <w:rFonts w:cs="Arial"/>
          <w:szCs w:val="24"/>
        </w:rPr>
        <w:t>/</w:t>
      </w:r>
      <w:r w:rsidR="00D434AC" w:rsidRPr="00817270">
        <w:rPr>
          <w:rFonts w:cs="Arial"/>
          <w:szCs w:val="24"/>
        </w:rPr>
        <w:t>19</w:t>
      </w:r>
      <w:r w:rsidRPr="00817270">
        <w:rPr>
          <w:rFonts w:cs="Arial"/>
          <w:szCs w:val="24"/>
        </w:rPr>
        <w:t xml:space="preserve"> to</w:t>
      </w:r>
      <w:r>
        <w:rPr>
          <w:rFonts w:cs="Arial"/>
          <w:szCs w:val="24"/>
        </w:rPr>
        <w:t xml:space="preserve"> 2020/21 is set out at Appendix 2 </w:t>
      </w:r>
      <w:r w:rsidR="00914951">
        <w:rPr>
          <w:rFonts w:cs="Arial"/>
          <w:szCs w:val="24"/>
        </w:rPr>
        <w:t>and</w:t>
      </w:r>
      <w:r w:rsidR="00BB5180">
        <w:rPr>
          <w:rFonts w:cs="Arial"/>
          <w:szCs w:val="24"/>
        </w:rPr>
        <w:t xml:space="preserve"> the 2019/20 and 2020/21 budget will be reviewed in line with the 6 principles set out above</w:t>
      </w:r>
      <w:r>
        <w:rPr>
          <w:rFonts w:cs="Arial"/>
          <w:szCs w:val="24"/>
        </w:rPr>
        <w:t>:</w:t>
      </w:r>
    </w:p>
    <w:p w:rsidR="00FE40AF" w:rsidRDefault="00FE40AF" w:rsidP="00FE40AF">
      <w:pPr>
        <w:pStyle w:val="ListParagraph"/>
        <w:spacing w:after="200"/>
        <w:ind w:left="360"/>
        <w:rPr>
          <w:rFonts w:cs="Arial"/>
          <w:szCs w:val="24"/>
        </w:rPr>
      </w:pPr>
    </w:p>
    <w:p w:rsidR="00471B89" w:rsidRDefault="00386C14" w:rsidP="00EA216C">
      <w:pPr>
        <w:pStyle w:val="ListParagraph"/>
        <w:numPr>
          <w:ilvl w:val="0"/>
          <w:numId w:val="27"/>
        </w:numPr>
        <w:spacing w:after="200"/>
        <w:rPr>
          <w:rFonts w:cs="Arial"/>
          <w:szCs w:val="24"/>
        </w:rPr>
      </w:pPr>
      <w:r>
        <w:rPr>
          <w:rFonts w:cs="Arial"/>
          <w:szCs w:val="24"/>
        </w:rPr>
        <w:t xml:space="preserve"> The existing capital programme has been realigned where appropriate for schemes where the original profile of spend has need</w:t>
      </w:r>
      <w:r w:rsidR="00817270">
        <w:rPr>
          <w:rFonts w:cs="Arial"/>
          <w:szCs w:val="24"/>
        </w:rPr>
        <w:t>ed</w:t>
      </w:r>
      <w:r>
        <w:rPr>
          <w:rFonts w:cs="Arial"/>
          <w:szCs w:val="24"/>
        </w:rPr>
        <w:t xml:space="preserve"> amendment, but overall </w:t>
      </w:r>
      <w:r w:rsidR="00CE2756">
        <w:rPr>
          <w:rFonts w:cs="Arial"/>
          <w:szCs w:val="24"/>
        </w:rPr>
        <w:t>any realigned budgets will total to the same amount</w:t>
      </w:r>
      <w:r w:rsidR="00817270">
        <w:rPr>
          <w:rFonts w:cs="Arial"/>
          <w:szCs w:val="24"/>
        </w:rPr>
        <w:t>, so this is cost neutral in terms of the overall programme</w:t>
      </w:r>
      <w:r w:rsidR="00CE2756">
        <w:rPr>
          <w:rFonts w:cs="Arial"/>
          <w:szCs w:val="24"/>
        </w:rPr>
        <w:t>.</w:t>
      </w:r>
      <w:r w:rsidR="00817270">
        <w:rPr>
          <w:rFonts w:cs="Arial"/>
          <w:szCs w:val="24"/>
        </w:rPr>
        <w:t xml:space="preserve">  There have also been some </w:t>
      </w:r>
      <w:r w:rsidR="00471B89">
        <w:rPr>
          <w:rFonts w:cs="Arial"/>
          <w:szCs w:val="24"/>
        </w:rPr>
        <w:t xml:space="preserve">other amendments </w:t>
      </w:r>
      <w:r w:rsidR="00817270">
        <w:rPr>
          <w:rFonts w:cs="Arial"/>
          <w:szCs w:val="24"/>
        </w:rPr>
        <w:t xml:space="preserve">in 2019/20 and 2020/21 </w:t>
      </w:r>
      <w:r w:rsidR="00471B89">
        <w:rPr>
          <w:rFonts w:cs="Arial"/>
          <w:szCs w:val="24"/>
        </w:rPr>
        <w:t xml:space="preserve">as follows: </w:t>
      </w:r>
    </w:p>
    <w:p w:rsidR="00471B89" w:rsidRPr="00471B89" w:rsidRDefault="00471B89" w:rsidP="00471B89">
      <w:pPr>
        <w:pStyle w:val="ListParagraph"/>
        <w:rPr>
          <w:rFonts w:cs="Arial"/>
          <w:szCs w:val="24"/>
        </w:rPr>
      </w:pPr>
    </w:p>
    <w:p w:rsidR="00471B89" w:rsidRDefault="00471B89" w:rsidP="00471B89">
      <w:pPr>
        <w:pStyle w:val="ListParagraph"/>
        <w:numPr>
          <w:ilvl w:val="0"/>
          <w:numId w:val="44"/>
        </w:numPr>
        <w:spacing w:after="200"/>
        <w:ind w:left="851" w:hanging="425"/>
        <w:rPr>
          <w:rFonts w:cs="Arial"/>
          <w:szCs w:val="24"/>
        </w:rPr>
      </w:pPr>
      <w:r>
        <w:rPr>
          <w:rFonts w:cs="Arial"/>
          <w:szCs w:val="24"/>
        </w:rPr>
        <w:t xml:space="preserve">An increase in the </w:t>
      </w:r>
      <w:r w:rsidR="00B37D69">
        <w:rPr>
          <w:rFonts w:cs="Arial"/>
          <w:szCs w:val="24"/>
        </w:rPr>
        <w:t>b</w:t>
      </w:r>
      <w:r>
        <w:rPr>
          <w:rFonts w:cs="Arial"/>
          <w:szCs w:val="24"/>
        </w:rPr>
        <w:t xml:space="preserve">udget for the expansion of the central depot of £5m in 2020/21.  The additional capital financing costs from this additional £5m </w:t>
      </w:r>
      <w:r w:rsidR="00B37D69">
        <w:rPr>
          <w:rFonts w:cs="Arial"/>
          <w:szCs w:val="24"/>
        </w:rPr>
        <w:t>cost is</w:t>
      </w:r>
      <w:r>
        <w:rPr>
          <w:rFonts w:cs="Arial"/>
          <w:szCs w:val="24"/>
        </w:rPr>
        <w:t xml:space="preserve"> being financed from additional rental income to be achieved from additional rental and parking spaces.</w:t>
      </w:r>
    </w:p>
    <w:p w:rsidR="00471B89" w:rsidRDefault="00471B89" w:rsidP="00471B89">
      <w:pPr>
        <w:pStyle w:val="ListParagraph"/>
        <w:spacing w:after="200"/>
        <w:ind w:left="851"/>
        <w:rPr>
          <w:rFonts w:cs="Arial"/>
          <w:szCs w:val="24"/>
        </w:rPr>
      </w:pPr>
    </w:p>
    <w:p w:rsidR="00471B89" w:rsidRDefault="00471B89" w:rsidP="00471B89">
      <w:pPr>
        <w:pStyle w:val="ListParagraph"/>
        <w:numPr>
          <w:ilvl w:val="0"/>
          <w:numId w:val="44"/>
        </w:numPr>
        <w:spacing w:after="200"/>
        <w:ind w:left="851" w:hanging="425"/>
        <w:rPr>
          <w:rFonts w:cs="Arial"/>
          <w:szCs w:val="24"/>
        </w:rPr>
      </w:pPr>
      <w:r>
        <w:rPr>
          <w:rFonts w:cs="Arial"/>
          <w:szCs w:val="24"/>
        </w:rPr>
        <w:t>There has been a net reduction in the HRA Capital Programme of £1.0</w:t>
      </w:r>
      <w:r w:rsidR="00B37D69">
        <w:rPr>
          <w:rFonts w:cs="Arial"/>
          <w:szCs w:val="24"/>
        </w:rPr>
        <w:t xml:space="preserve">86m between 2020/21 and 2021/22.  This has no capital financing implications for the general fund as it is entirely </w:t>
      </w:r>
      <w:r>
        <w:rPr>
          <w:rFonts w:cs="Arial"/>
          <w:szCs w:val="24"/>
        </w:rPr>
        <w:t>financed by the Housing Revenue Account.</w:t>
      </w:r>
    </w:p>
    <w:p w:rsidR="00471B89" w:rsidRPr="00471B89" w:rsidRDefault="00471B89" w:rsidP="00471B89">
      <w:pPr>
        <w:pStyle w:val="ListParagraph"/>
        <w:rPr>
          <w:rFonts w:cs="Arial"/>
          <w:szCs w:val="24"/>
        </w:rPr>
      </w:pPr>
    </w:p>
    <w:p w:rsidR="00914951" w:rsidRPr="00B37D69" w:rsidRDefault="00471B89" w:rsidP="00B37D69">
      <w:pPr>
        <w:pStyle w:val="ListParagraph"/>
        <w:numPr>
          <w:ilvl w:val="0"/>
          <w:numId w:val="44"/>
        </w:numPr>
        <w:spacing w:after="200"/>
        <w:ind w:left="851" w:hanging="425"/>
        <w:rPr>
          <w:rFonts w:cs="Arial"/>
          <w:szCs w:val="24"/>
        </w:rPr>
      </w:pPr>
      <w:r>
        <w:rPr>
          <w:rFonts w:cs="Arial"/>
          <w:szCs w:val="24"/>
        </w:rPr>
        <w:t>The most significant amendment to the existing programme relates to the Regeneration Programme which has been amended to reflect a reset of the programme as set out in the table below with further detail set out in the Regeneration report elsewhere on the agenda.</w:t>
      </w:r>
    </w:p>
    <w:p w:rsidR="00914951" w:rsidRDefault="00914951" w:rsidP="00EA216C">
      <w:pPr>
        <w:rPr>
          <w:rFonts w:cs="Arial"/>
          <w:b/>
          <w:szCs w:val="24"/>
        </w:rPr>
      </w:pPr>
      <w:r w:rsidRPr="00EA216C">
        <w:rPr>
          <w:rFonts w:cs="Arial"/>
          <w:b/>
          <w:szCs w:val="24"/>
        </w:rPr>
        <w:t>Table 4</w:t>
      </w:r>
      <w:r>
        <w:rPr>
          <w:rFonts w:cs="Arial"/>
          <w:b/>
          <w:szCs w:val="24"/>
        </w:rPr>
        <w:t xml:space="preserve"> - </w:t>
      </w:r>
      <w:r w:rsidRPr="00EA216C">
        <w:rPr>
          <w:rFonts w:cs="Arial"/>
          <w:b/>
          <w:szCs w:val="24"/>
        </w:rPr>
        <w:t xml:space="preserve"> Revised Regeneration Programme 2019/20 to 2020/21</w:t>
      </w:r>
    </w:p>
    <w:p w:rsidR="00C333E5" w:rsidRDefault="00C333E5" w:rsidP="00EA216C">
      <w:pPr>
        <w:rPr>
          <w:rFonts w:cs="Arial"/>
          <w:b/>
          <w:szCs w:val="24"/>
        </w:rPr>
      </w:pPr>
      <w:bookmarkStart w:id="0" w:name="_GoBack"/>
      <w:r w:rsidRPr="00C333E5">
        <w:drawing>
          <wp:inline distT="0" distB="0" distL="0" distR="0">
            <wp:extent cx="5163670" cy="151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3960" cy="1513840"/>
                    </a:xfrm>
                    <a:prstGeom prst="rect">
                      <a:avLst/>
                    </a:prstGeom>
                    <a:noFill/>
                    <a:ln>
                      <a:noFill/>
                    </a:ln>
                  </pic:spPr>
                </pic:pic>
              </a:graphicData>
            </a:graphic>
          </wp:inline>
        </w:drawing>
      </w:r>
      <w:bookmarkEnd w:id="0"/>
    </w:p>
    <w:p w:rsidR="00B37D69" w:rsidRDefault="00B37D69" w:rsidP="00EA216C">
      <w:pPr>
        <w:rPr>
          <w:rFonts w:cs="Arial"/>
          <w:b/>
          <w:szCs w:val="24"/>
        </w:rPr>
      </w:pPr>
    </w:p>
    <w:p w:rsidR="00CE2756" w:rsidRDefault="00CE2756" w:rsidP="00EA216C">
      <w:pPr>
        <w:rPr>
          <w:rFonts w:cs="Arial"/>
          <w:szCs w:val="24"/>
        </w:rPr>
      </w:pPr>
    </w:p>
    <w:p w:rsidR="00CE2756" w:rsidRPr="00CE2756" w:rsidRDefault="00CE2756" w:rsidP="00EA216C">
      <w:pPr>
        <w:rPr>
          <w:rFonts w:cs="Arial"/>
          <w:szCs w:val="24"/>
        </w:rPr>
      </w:pPr>
    </w:p>
    <w:p w:rsidR="0058224A" w:rsidRPr="0007751F" w:rsidRDefault="0058224A" w:rsidP="000E638E">
      <w:pPr>
        <w:tabs>
          <w:tab w:val="num" w:pos="1985"/>
        </w:tabs>
        <w:ind w:left="567" w:hanging="141"/>
        <w:jc w:val="both"/>
        <w:rPr>
          <w:rFonts w:cs="Arial"/>
          <w:b/>
          <w:szCs w:val="24"/>
        </w:rPr>
      </w:pPr>
      <w:r w:rsidRPr="0007751F">
        <w:rPr>
          <w:rFonts w:cs="Arial"/>
          <w:b/>
          <w:szCs w:val="24"/>
        </w:rPr>
        <w:t>Community Infrastructure Levy (CIL) Funding</w:t>
      </w:r>
      <w:r w:rsidR="00EB61E1">
        <w:rPr>
          <w:rFonts w:cs="Arial"/>
          <w:b/>
          <w:szCs w:val="24"/>
        </w:rPr>
        <w:t xml:space="preserve"> </w:t>
      </w:r>
    </w:p>
    <w:p w:rsidR="00B16D25" w:rsidRPr="00EA216C" w:rsidRDefault="00B16D25">
      <w:pPr>
        <w:pStyle w:val="ListParagraph"/>
        <w:numPr>
          <w:ilvl w:val="0"/>
          <w:numId w:val="27"/>
        </w:numPr>
        <w:jc w:val="both"/>
        <w:rPr>
          <w:rFonts w:cs="Arial"/>
          <w:szCs w:val="24"/>
        </w:rPr>
      </w:pPr>
      <w:r w:rsidRPr="00CE2756">
        <w:rPr>
          <w:rFonts w:cs="Arial"/>
          <w:szCs w:val="24"/>
        </w:rPr>
        <w:t xml:space="preserve">The Community Infrastructure Levy (CIL) enables the council to raise funds for infrastructure from new development. It is levied on the net increase in </w:t>
      </w:r>
      <w:r w:rsidR="00557940" w:rsidRPr="00CE2756">
        <w:rPr>
          <w:rFonts w:cs="Arial"/>
          <w:szCs w:val="24"/>
        </w:rPr>
        <w:t>floor space</w:t>
      </w:r>
      <w:r w:rsidRPr="00CE2756">
        <w:rPr>
          <w:rFonts w:cs="Arial"/>
          <w:szCs w:val="24"/>
        </w:rPr>
        <w:t xml:space="preserve"> arising from new development</w:t>
      </w:r>
      <w:r w:rsidR="00557940" w:rsidRPr="00CE2756">
        <w:rPr>
          <w:rFonts w:cs="Arial"/>
          <w:szCs w:val="24"/>
        </w:rPr>
        <w:t>s</w:t>
      </w:r>
      <w:r w:rsidRPr="00CE2756">
        <w:rPr>
          <w:rFonts w:cs="Arial"/>
          <w:szCs w:val="24"/>
        </w:rPr>
        <w:t xml:space="preserve"> and is paid when that development starts.</w:t>
      </w:r>
      <w:r w:rsidR="00C05994" w:rsidRPr="00A53B9F">
        <w:rPr>
          <w:rFonts w:cs="Arial"/>
          <w:szCs w:val="24"/>
        </w:rPr>
        <w:t xml:space="preserve"> The Community Infrastructure Levy (CIL) is a tool for local authorities to support the development of their area by funding the provision, improvement, replacement, operation or maintenance of infrastructure. However the focus of CIL is on the delivery of new infrastructure t</w:t>
      </w:r>
      <w:r w:rsidR="00C05994" w:rsidRPr="00EA216C">
        <w:rPr>
          <w:rFonts w:cs="Arial"/>
          <w:szCs w:val="24"/>
        </w:rPr>
        <w:t>o meet and mitigate the impacts of new development in an area</w:t>
      </w:r>
      <w:r w:rsidR="008611E5" w:rsidRPr="00EA216C">
        <w:rPr>
          <w:rFonts w:cs="Arial"/>
          <w:szCs w:val="24"/>
        </w:rPr>
        <w:t>.</w:t>
      </w:r>
    </w:p>
    <w:p w:rsidR="002640D2" w:rsidRDefault="002640D2" w:rsidP="00A26B10">
      <w:pPr>
        <w:pStyle w:val="ListParagraph"/>
        <w:ind w:left="360"/>
        <w:jc w:val="both"/>
        <w:rPr>
          <w:rFonts w:cs="Arial"/>
          <w:szCs w:val="24"/>
        </w:rPr>
      </w:pPr>
    </w:p>
    <w:p w:rsidR="00C05994" w:rsidRPr="001D2DF5" w:rsidRDefault="00C05994" w:rsidP="000E638E">
      <w:pPr>
        <w:pStyle w:val="ListParagraph"/>
        <w:keepNext/>
        <w:numPr>
          <w:ilvl w:val="0"/>
          <w:numId w:val="27"/>
        </w:numPr>
        <w:tabs>
          <w:tab w:val="clear" w:pos="360"/>
          <w:tab w:val="num" w:pos="426"/>
        </w:tabs>
        <w:jc w:val="both"/>
      </w:pPr>
      <w:r>
        <w:t xml:space="preserve"> </w:t>
      </w:r>
      <w:r w:rsidRPr="001D2DF5">
        <w:t>CIL receipts can be used to fund a wide ra</w:t>
      </w:r>
      <w:r>
        <w:t xml:space="preserve">nge of infrastructure </w:t>
      </w:r>
      <w:r w:rsidR="005A7232">
        <w:t>including transport</w:t>
      </w:r>
      <w:r w:rsidRPr="001D2DF5">
        <w:t>, schools, health and social care facilities, libraries, play areas, green spaces and sports facilities.</w:t>
      </w:r>
      <w:r w:rsidRPr="00C05994">
        <w:t xml:space="preserve"> </w:t>
      </w:r>
      <w:r w:rsidRPr="001D2DF5">
        <w:t>Harrow’s list of strategic infrastructure requirements known as a Regulation 123 list is shown below:</w:t>
      </w:r>
      <w:r w:rsidR="002640D2">
        <w:t xml:space="preserve">   </w:t>
      </w:r>
    </w:p>
    <w:p w:rsidR="00C05994" w:rsidRPr="001D2DF5" w:rsidRDefault="00C05994" w:rsidP="00C05994">
      <w:pPr>
        <w:keepNext/>
      </w:pPr>
    </w:p>
    <w:p w:rsidR="00C05994" w:rsidRPr="001D2DF5" w:rsidRDefault="00C05994" w:rsidP="00C05994">
      <w:pPr>
        <w:ind w:left="851"/>
      </w:pPr>
      <w:r>
        <w:rPr>
          <w:noProof/>
          <w:szCs w:val="24"/>
          <w:bdr w:val="dotted" w:sz="4" w:space="0" w:color="auto"/>
          <w:lang w:eastAsia="en-GB"/>
        </w:rPr>
        <w:drawing>
          <wp:inline distT="0" distB="0" distL="0" distR="0" wp14:anchorId="4BF7E56A" wp14:editId="0028E8B5">
            <wp:extent cx="4848860" cy="335788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860" cy="3357880"/>
                    </a:xfrm>
                    <a:prstGeom prst="rect">
                      <a:avLst/>
                    </a:prstGeom>
                    <a:noFill/>
                    <a:ln>
                      <a:noFill/>
                    </a:ln>
                  </pic:spPr>
                </pic:pic>
              </a:graphicData>
            </a:graphic>
          </wp:inline>
        </w:drawing>
      </w:r>
    </w:p>
    <w:p w:rsidR="00C05994" w:rsidRDefault="00C05994" w:rsidP="000E638E">
      <w:pPr>
        <w:pStyle w:val="ListParagraph"/>
        <w:ind w:left="360"/>
        <w:jc w:val="both"/>
      </w:pPr>
    </w:p>
    <w:p w:rsidR="00E84F43" w:rsidRPr="000E638E" w:rsidRDefault="005A7ABA">
      <w:pPr>
        <w:pStyle w:val="ListParagraph"/>
        <w:numPr>
          <w:ilvl w:val="0"/>
          <w:numId w:val="27"/>
        </w:numPr>
        <w:jc w:val="both"/>
        <w:rPr>
          <w:lang w:val="en"/>
        </w:rPr>
      </w:pPr>
      <w:r>
        <w:t xml:space="preserve"> </w:t>
      </w:r>
      <w:r w:rsidRPr="005A7ABA">
        <w:rPr>
          <w:lang w:val="en"/>
        </w:rPr>
        <w:t xml:space="preserve">Of all CIL monies collected, 85% is used to fund strategic </w:t>
      </w:r>
      <w:r>
        <w:rPr>
          <w:lang w:val="en"/>
        </w:rPr>
        <w:t xml:space="preserve">borough </w:t>
      </w:r>
      <w:r w:rsidR="00953CF4">
        <w:rPr>
          <w:lang w:val="en"/>
        </w:rPr>
        <w:t>wide infrastructure</w:t>
      </w:r>
      <w:r w:rsidR="0023468E">
        <w:rPr>
          <w:lang w:val="en"/>
        </w:rPr>
        <w:t xml:space="preserve"> projects, which includes a 5% allowance to cover the </w:t>
      </w:r>
      <w:r w:rsidRPr="005A7ABA">
        <w:rPr>
          <w:lang w:val="en"/>
        </w:rPr>
        <w:t>administrati</w:t>
      </w:r>
      <w:r w:rsidR="0023468E">
        <w:rPr>
          <w:lang w:val="en"/>
        </w:rPr>
        <w:t>ve costs of CIL</w:t>
      </w:r>
      <w:r w:rsidRPr="005A7ABA">
        <w:rPr>
          <w:lang w:val="en"/>
        </w:rPr>
        <w:t xml:space="preserve">. The decisions on where to spend CIL </w:t>
      </w:r>
      <w:r w:rsidR="00E84F43">
        <w:t>at a borough-wide level</w:t>
      </w:r>
      <w:r w:rsidR="00C05994">
        <w:t xml:space="preserve"> </w:t>
      </w:r>
      <w:r w:rsidR="00C05994" w:rsidRPr="001D2DF5">
        <w:t xml:space="preserve">is determined by the Council. </w:t>
      </w:r>
      <w:r w:rsidR="0023468E">
        <w:t xml:space="preserve">The remaining 15% is allocated to </w:t>
      </w:r>
      <w:r w:rsidR="00C05994" w:rsidRPr="001D2DF5">
        <w:t xml:space="preserve">Neighbourhood CIL (NCIL) </w:t>
      </w:r>
      <w:r w:rsidR="0023468E">
        <w:t xml:space="preserve">and </w:t>
      </w:r>
      <w:r w:rsidR="00C05994" w:rsidRPr="001D2DF5">
        <w:t>must be spent on projects that have taken account of the views of the communities in which the income was generated</w:t>
      </w:r>
      <w:r w:rsidR="00C05994">
        <w:t xml:space="preserve"> and these projects should support the development of the area</w:t>
      </w:r>
      <w:r w:rsidR="00C05994" w:rsidRPr="001D2DF5">
        <w:t>.</w:t>
      </w:r>
      <w:r w:rsidR="00E84F43">
        <w:t xml:space="preserve"> </w:t>
      </w:r>
    </w:p>
    <w:p w:rsidR="005A7ABA" w:rsidRPr="000E638E" w:rsidRDefault="005A7ABA" w:rsidP="000E638E">
      <w:pPr>
        <w:pStyle w:val="ListParagraph"/>
        <w:ind w:left="360"/>
        <w:jc w:val="both"/>
        <w:rPr>
          <w:lang w:val="en"/>
        </w:rPr>
      </w:pPr>
    </w:p>
    <w:p w:rsidR="0023468E" w:rsidRDefault="00962A6F" w:rsidP="00A26B10">
      <w:pPr>
        <w:pStyle w:val="ListParagraph"/>
        <w:numPr>
          <w:ilvl w:val="0"/>
          <w:numId w:val="27"/>
        </w:numPr>
        <w:tabs>
          <w:tab w:val="clear" w:pos="360"/>
        </w:tabs>
        <w:ind w:left="426" w:hanging="426"/>
        <w:jc w:val="both"/>
      </w:pPr>
      <w:r>
        <w:t xml:space="preserve"> </w:t>
      </w:r>
      <w:r w:rsidR="003F3E80">
        <w:t>Last year, a</w:t>
      </w:r>
      <w:r w:rsidR="005A7ABA">
        <w:t xml:space="preserve"> report was presented to the Major Development Panel</w:t>
      </w:r>
      <w:r w:rsidR="00576CCD">
        <w:t xml:space="preserve"> (MDP)</w:t>
      </w:r>
      <w:r w:rsidR="005A7ABA">
        <w:t xml:space="preserve"> on 14</w:t>
      </w:r>
      <w:r w:rsidR="005A7ABA" w:rsidRPr="000E638E">
        <w:rPr>
          <w:vertAlign w:val="superscript"/>
        </w:rPr>
        <w:t>th</w:t>
      </w:r>
      <w:r w:rsidR="005A7ABA">
        <w:t xml:space="preserve"> </w:t>
      </w:r>
      <w:r>
        <w:t xml:space="preserve"> </w:t>
      </w:r>
      <w:r w:rsidR="005A7ABA">
        <w:t xml:space="preserve">November 2017, </w:t>
      </w:r>
      <w:r w:rsidR="006F5268">
        <w:t xml:space="preserve">recommending that the allocation of Borough </w:t>
      </w:r>
      <w:r w:rsidR="008611E5">
        <w:t xml:space="preserve">and Neighbourhood </w:t>
      </w:r>
      <w:r w:rsidR="006F5268">
        <w:t xml:space="preserve">CIL is included as part of the Annual Budget Setting process and included in the Capital Programme report which goes to Cabinet in draft in December (this report) and in February in its final </w:t>
      </w:r>
      <w:r w:rsidR="006F5268">
        <w:lastRenderedPageBreak/>
        <w:t>version.  Th</w:t>
      </w:r>
      <w:r w:rsidR="0025315D">
        <w:t>e</w:t>
      </w:r>
      <w:r w:rsidR="008611E5">
        <w:t xml:space="preserve"> recommendations from th</w:t>
      </w:r>
      <w:r w:rsidR="00C4449F">
        <w:t xml:space="preserve">e Major Development Panel </w:t>
      </w:r>
      <w:r w:rsidR="00576CCD">
        <w:t xml:space="preserve">(MDP) </w:t>
      </w:r>
      <w:r w:rsidR="008611E5">
        <w:t xml:space="preserve">report </w:t>
      </w:r>
      <w:r w:rsidR="003F3E80">
        <w:t>were agreed by Cabinet on 7</w:t>
      </w:r>
      <w:r w:rsidR="003F3E80" w:rsidRPr="00C745C3">
        <w:rPr>
          <w:vertAlign w:val="superscript"/>
        </w:rPr>
        <w:t>th</w:t>
      </w:r>
      <w:r w:rsidR="003F3E80">
        <w:t xml:space="preserve"> December 2017 and set out the principles as follows:</w:t>
      </w:r>
      <w:r w:rsidR="006F5268">
        <w:t xml:space="preserve"> </w:t>
      </w:r>
    </w:p>
    <w:p w:rsidR="003F3E80" w:rsidRDefault="003F3E80" w:rsidP="003F3E80">
      <w:pPr>
        <w:rPr>
          <w:rFonts w:cs="Arial"/>
          <w:i/>
          <w:iCs/>
        </w:rPr>
      </w:pPr>
    </w:p>
    <w:p w:rsidR="003F3E80" w:rsidRDefault="003F3E80" w:rsidP="003F3E80">
      <w:pPr>
        <w:pStyle w:val="ListParagraph"/>
        <w:numPr>
          <w:ilvl w:val="0"/>
          <w:numId w:val="40"/>
        </w:numPr>
        <w:contextualSpacing w:val="0"/>
        <w:rPr>
          <w:rFonts w:cs="Arial"/>
          <w:i/>
          <w:iCs/>
        </w:rPr>
      </w:pPr>
      <w:r>
        <w:rPr>
          <w:rFonts w:cs="Arial"/>
          <w:i/>
          <w:iCs/>
        </w:rPr>
        <w:t xml:space="preserve"> the allocation of the Borough Community Infrastructure Levey (CIL) be included as part of the Annual Budget Setting process and included in the Capital Programme report which </w:t>
      </w:r>
      <w:r w:rsidR="009556DE">
        <w:rPr>
          <w:rFonts w:cs="Arial"/>
          <w:i/>
          <w:iCs/>
        </w:rPr>
        <w:t>is</w:t>
      </w:r>
      <w:r>
        <w:rPr>
          <w:rFonts w:cs="Arial"/>
          <w:i/>
          <w:iCs/>
        </w:rPr>
        <w:t xml:space="preserve"> presented to Cabinet every year in December (draft budget) and February (final budget);</w:t>
      </w:r>
    </w:p>
    <w:p w:rsidR="003F3E80" w:rsidRDefault="003F3E80" w:rsidP="003F3E80">
      <w:pPr>
        <w:rPr>
          <w:rFonts w:cs="Arial"/>
          <w:i/>
          <w:iCs/>
        </w:rPr>
      </w:pPr>
    </w:p>
    <w:p w:rsidR="003F3E80" w:rsidRDefault="003F3E80" w:rsidP="003F3E80">
      <w:pPr>
        <w:pStyle w:val="ListParagraph"/>
        <w:numPr>
          <w:ilvl w:val="0"/>
          <w:numId w:val="40"/>
        </w:numPr>
        <w:contextualSpacing w:val="0"/>
        <w:rPr>
          <w:rFonts w:cs="Arial"/>
          <w:i/>
          <w:iCs/>
        </w:rPr>
      </w:pPr>
      <w:r>
        <w:rPr>
          <w:rFonts w:cs="Arial"/>
          <w:i/>
          <w:iCs/>
        </w:rPr>
        <w:t>the allocation of the Borough CIL be informed by the Harrow Local Plan, Infrastructure Delivery Plan, Corporate Priorities and external funding opportunities and have regard to the criteria outlined in Section 7 of the report considered by the Major Developments Panel;</w:t>
      </w:r>
    </w:p>
    <w:p w:rsidR="003F3E80" w:rsidRDefault="003F3E80" w:rsidP="003F3E80">
      <w:pPr>
        <w:rPr>
          <w:rFonts w:cs="Arial"/>
          <w:i/>
          <w:iCs/>
        </w:rPr>
      </w:pPr>
    </w:p>
    <w:p w:rsidR="003F3E80" w:rsidRDefault="003F3E80" w:rsidP="003F3E80">
      <w:pPr>
        <w:pStyle w:val="ListParagraph"/>
        <w:numPr>
          <w:ilvl w:val="0"/>
          <w:numId w:val="40"/>
        </w:numPr>
        <w:contextualSpacing w:val="0"/>
        <w:rPr>
          <w:rFonts w:cs="Arial"/>
          <w:i/>
          <w:iCs/>
        </w:rPr>
      </w:pPr>
      <w:r>
        <w:rPr>
          <w:rFonts w:cs="Arial"/>
          <w:i/>
          <w:iCs/>
        </w:rPr>
        <w:t>the following approaches to allocating the Neighbourhood CIL be approved:</w:t>
      </w:r>
    </w:p>
    <w:p w:rsidR="003F3E80" w:rsidRDefault="003F3E80" w:rsidP="003F3E80">
      <w:pPr>
        <w:rPr>
          <w:rFonts w:cs="Arial"/>
          <w:i/>
          <w:iCs/>
        </w:rPr>
      </w:pPr>
    </w:p>
    <w:p w:rsidR="003F3E80" w:rsidRDefault="003F3E80" w:rsidP="003F3E80">
      <w:pPr>
        <w:pStyle w:val="ListParagraph"/>
        <w:numPr>
          <w:ilvl w:val="0"/>
          <w:numId w:val="41"/>
        </w:numPr>
        <w:contextualSpacing w:val="0"/>
        <w:rPr>
          <w:rFonts w:cs="Arial"/>
          <w:i/>
          <w:iCs/>
        </w:rPr>
      </w:pPr>
      <w:r>
        <w:rPr>
          <w:rFonts w:cs="Arial"/>
          <w:i/>
          <w:iCs/>
        </w:rPr>
        <w:t> allocation of 15% of CIL receipts raised in each Ward back to the respective Ward in which it was generated (except where received from within the geographical definition of the Harrow and Wealdstone Opportunity Area), provided there was no neighbourhood plan for that area (if there was, the amount be 25%).</w:t>
      </w:r>
    </w:p>
    <w:p w:rsidR="003F3E80" w:rsidRDefault="003F3E80" w:rsidP="003F3E80">
      <w:pPr>
        <w:ind w:left="1701" w:hanging="567"/>
        <w:rPr>
          <w:rFonts w:cs="Arial"/>
          <w:i/>
          <w:iCs/>
        </w:rPr>
      </w:pPr>
    </w:p>
    <w:p w:rsidR="003F3E80" w:rsidRDefault="003F3E80" w:rsidP="003F3E80">
      <w:pPr>
        <w:pStyle w:val="ListParagraph"/>
        <w:numPr>
          <w:ilvl w:val="0"/>
          <w:numId w:val="41"/>
        </w:numPr>
        <w:contextualSpacing w:val="0"/>
        <w:rPr>
          <w:rFonts w:cs="Arial"/>
          <w:i/>
          <w:iCs/>
        </w:rPr>
      </w:pPr>
      <w:r>
        <w:rPr>
          <w:rFonts w:cs="Arial"/>
          <w:i/>
          <w:iCs/>
        </w:rPr>
        <w:t> for CIL received within the geographical definition of the Harrow and Wealdstone Opportunity Area, (which was considered to form a neighbourhood), allocation of 15% of CIL receipts into a combined fund to be spent on projects across the entire area, to reflect that the area contained the greater proportion of strategic development sites within the borough.</w:t>
      </w:r>
    </w:p>
    <w:p w:rsidR="003F3E80" w:rsidRDefault="003F3E80" w:rsidP="003F3E80">
      <w:pPr>
        <w:ind w:left="1701" w:hanging="567"/>
        <w:rPr>
          <w:rFonts w:cs="Arial"/>
          <w:i/>
          <w:iCs/>
        </w:rPr>
      </w:pPr>
    </w:p>
    <w:p w:rsidR="003F3E80" w:rsidRDefault="003F3E80" w:rsidP="003F3E80">
      <w:pPr>
        <w:pStyle w:val="ListParagraph"/>
        <w:numPr>
          <w:ilvl w:val="0"/>
          <w:numId w:val="41"/>
        </w:numPr>
        <w:contextualSpacing w:val="0"/>
        <w:rPr>
          <w:rFonts w:cs="Arial"/>
          <w:i/>
          <w:iCs/>
        </w:rPr>
      </w:pPr>
      <w:r>
        <w:rPr>
          <w:rFonts w:cs="Arial"/>
          <w:i/>
          <w:iCs/>
        </w:rPr>
        <w:t> the broad allocation of Neighbourhood CIL be agreed as part of the Capital Programme (based on available funds at the time and allocated as per 3(</w:t>
      </w:r>
      <w:proofErr w:type="spellStart"/>
      <w:r>
        <w:rPr>
          <w:rFonts w:cs="Arial"/>
          <w:i/>
          <w:iCs/>
        </w:rPr>
        <w:t>i</w:t>
      </w:r>
      <w:proofErr w:type="spellEnd"/>
      <w:r>
        <w:rPr>
          <w:rFonts w:cs="Arial"/>
          <w:i/>
          <w:iCs/>
        </w:rPr>
        <w:t xml:space="preserve">) and 3(ii) above), and included in the  Capital Programme report which </w:t>
      </w:r>
      <w:r w:rsidR="00557940">
        <w:rPr>
          <w:rFonts w:cs="Arial"/>
          <w:i/>
          <w:iCs/>
        </w:rPr>
        <w:t>is</w:t>
      </w:r>
      <w:r>
        <w:rPr>
          <w:rFonts w:cs="Arial"/>
          <w:i/>
          <w:iCs/>
        </w:rPr>
        <w:t xml:space="preserve"> presented to Cabinet every year in December (draft budget) and February (final budget).</w:t>
      </w:r>
    </w:p>
    <w:p w:rsidR="003F3E80" w:rsidRDefault="003F3E80" w:rsidP="003F3E80">
      <w:pPr>
        <w:ind w:left="1701" w:hanging="567"/>
        <w:rPr>
          <w:rFonts w:cs="Arial"/>
          <w:i/>
          <w:iCs/>
        </w:rPr>
      </w:pPr>
    </w:p>
    <w:p w:rsidR="003F3E80" w:rsidRDefault="003F3E80" w:rsidP="003F3E80">
      <w:pPr>
        <w:pStyle w:val="ListParagraph"/>
        <w:numPr>
          <w:ilvl w:val="0"/>
          <w:numId w:val="41"/>
        </w:numPr>
        <w:contextualSpacing w:val="0"/>
        <w:rPr>
          <w:rFonts w:cs="Arial"/>
          <w:i/>
          <w:iCs/>
        </w:rPr>
      </w:pPr>
      <w:r>
        <w:rPr>
          <w:rFonts w:cs="Arial"/>
          <w:i/>
          <w:iCs/>
        </w:rPr>
        <w:t xml:space="preserve"> Once the broad allocation of NCIL </w:t>
      </w:r>
      <w:r w:rsidR="00557940">
        <w:rPr>
          <w:rFonts w:cs="Arial"/>
          <w:i/>
          <w:iCs/>
        </w:rPr>
        <w:t>is</w:t>
      </w:r>
      <w:r>
        <w:rPr>
          <w:rFonts w:cs="Arial"/>
          <w:i/>
          <w:iCs/>
        </w:rPr>
        <w:t xml:space="preserve"> agreed as part of the Capital Programme, individual projects put forward by the relevant Directorates / Ward Members be assessed against the criteria outlined in section 7 of the MDP report (including the extent of consultation and level of community support), with the final decision on what projects were funded from the agreed CIL allocations being delegated to the Divisional Director of Regeneration and Planning, following consultation with the Portfolio Holders for Regeneration and Planning, and Finance and Commercialisation.</w:t>
      </w:r>
    </w:p>
    <w:p w:rsidR="00C05994" w:rsidRPr="001D2DF5" w:rsidRDefault="005A7ABA" w:rsidP="000E638E">
      <w:pPr>
        <w:pStyle w:val="ListParagraph"/>
        <w:ind w:left="360"/>
        <w:jc w:val="both"/>
      </w:pPr>
      <w:r>
        <w:t xml:space="preserve"> </w:t>
      </w:r>
    </w:p>
    <w:p w:rsidR="00977A30" w:rsidRPr="00FE40AF" w:rsidRDefault="00977A30" w:rsidP="000E638E">
      <w:pPr>
        <w:numPr>
          <w:ilvl w:val="0"/>
          <w:numId w:val="27"/>
        </w:numPr>
        <w:tabs>
          <w:tab w:val="clear" w:pos="360"/>
          <w:tab w:val="num" w:pos="567"/>
          <w:tab w:val="num" w:pos="1985"/>
        </w:tabs>
        <w:ind w:left="567" w:hanging="567"/>
        <w:jc w:val="both"/>
        <w:rPr>
          <w:rFonts w:cs="Arial"/>
          <w:szCs w:val="24"/>
        </w:rPr>
      </w:pPr>
      <w:r>
        <w:t xml:space="preserve">The Borough CIL element will be used to fund the core Capital programme and </w:t>
      </w:r>
      <w:r w:rsidR="003F3E80">
        <w:t>can</w:t>
      </w:r>
      <w:r>
        <w:t xml:space="preserve"> be considered as a funding source for new capital bids </w:t>
      </w:r>
      <w:r w:rsidR="003F3E80">
        <w:t>as well as existing projects in the Capital programme.</w:t>
      </w:r>
    </w:p>
    <w:p w:rsidR="003005D7" w:rsidRPr="007F1122" w:rsidRDefault="003005D7" w:rsidP="00A26B10">
      <w:pPr>
        <w:tabs>
          <w:tab w:val="num" w:pos="1985"/>
        </w:tabs>
        <w:ind w:left="567"/>
        <w:jc w:val="both"/>
        <w:rPr>
          <w:rFonts w:cs="Arial"/>
          <w:szCs w:val="24"/>
        </w:rPr>
      </w:pPr>
    </w:p>
    <w:p w:rsidR="003005D7" w:rsidRPr="00EE6763" w:rsidRDefault="003005D7" w:rsidP="000E638E">
      <w:pPr>
        <w:numPr>
          <w:ilvl w:val="0"/>
          <w:numId w:val="27"/>
        </w:numPr>
        <w:tabs>
          <w:tab w:val="clear" w:pos="360"/>
          <w:tab w:val="num" w:pos="567"/>
          <w:tab w:val="num" w:pos="1985"/>
        </w:tabs>
        <w:ind w:left="567" w:hanging="567"/>
        <w:jc w:val="both"/>
        <w:rPr>
          <w:rFonts w:cs="Arial"/>
          <w:szCs w:val="24"/>
        </w:rPr>
      </w:pPr>
      <w:r>
        <w:t xml:space="preserve">In addition to the principles already reached on how CIL funding should be used to fund the capital programme, in light of the budget gaps in future years, it is recommended that CIL should be </w:t>
      </w:r>
      <w:r w:rsidRPr="00A26B10">
        <w:rPr>
          <w:b/>
        </w:rPr>
        <w:t>first</w:t>
      </w:r>
      <w:r>
        <w:t xml:space="preserve"> be applied to any schemes in the existing capital programme rather than applying it to new schemes.  The rationale for this is that if applied to schemes that are currently funded from borrowing, by funding from CIL instead, this </w:t>
      </w:r>
      <w:r w:rsidR="00FE40AF">
        <w:t>will reduce</w:t>
      </w:r>
      <w:r>
        <w:t xml:space="preserve"> the existing capital financing costs and therefore improve the existing budget gaps. </w:t>
      </w:r>
    </w:p>
    <w:p w:rsidR="00977A30" w:rsidRDefault="00977A30" w:rsidP="000E638E">
      <w:pPr>
        <w:pStyle w:val="ListParagraph"/>
      </w:pPr>
    </w:p>
    <w:p w:rsidR="00723A07" w:rsidRPr="00835C20" w:rsidRDefault="00081B71" w:rsidP="000E638E">
      <w:pPr>
        <w:numPr>
          <w:ilvl w:val="0"/>
          <w:numId w:val="27"/>
        </w:numPr>
        <w:tabs>
          <w:tab w:val="clear" w:pos="360"/>
          <w:tab w:val="num" w:pos="426"/>
          <w:tab w:val="num" w:pos="1985"/>
        </w:tabs>
        <w:ind w:left="567" w:hanging="567"/>
        <w:jc w:val="both"/>
        <w:rPr>
          <w:rFonts w:cs="Arial"/>
          <w:szCs w:val="24"/>
        </w:rPr>
      </w:pPr>
      <w:r>
        <w:t xml:space="preserve"> </w:t>
      </w:r>
      <w:r w:rsidR="003F3E80">
        <w:t>In terms of t</w:t>
      </w:r>
      <w:r w:rsidR="006F5268" w:rsidRPr="00285003">
        <w:t>he Neighbourhood element of CIL</w:t>
      </w:r>
      <w:r w:rsidR="003F3E80">
        <w:t>, a</w:t>
      </w:r>
      <w:r w:rsidR="005850FD">
        <w:t xml:space="preserve"> sum of £800k w</w:t>
      </w:r>
      <w:r w:rsidR="003F3E80">
        <w:t>as</w:t>
      </w:r>
      <w:r w:rsidR="005850FD">
        <w:t xml:space="preserve"> included in the 2018/19 Capital Programme</w:t>
      </w:r>
      <w:r w:rsidR="003F3E80">
        <w:t xml:space="preserve"> which was in addition to </w:t>
      </w:r>
      <w:r w:rsidR="00557940">
        <w:t>a sum</w:t>
      </w:r>
      <w:r w:rsidR="005850FD">
        <w:t xml:space="preserve"> of £200k </w:t>
      </w:r>
      <w:r w:rsidR="003F3E80">
        <w:t xml:space="preserve">which was </w:t>
      </w:r>
      <w:r w:rsidR="005850FD">
        <w:t>included for 2017/18</w:t>
      </w:r>
      <w:r w:rsidR="003F3E80">
        <w:t xml:space="preserve">. </w:t>
      </w:r>
      <w:r w:rsidR="005850FD">
        <w:t xml:space="preserve"> </w:t>
      </w:r>
      <w:r w:rsidR="00403B00">
        <w:t xml:space="preserve">This was a general allocation with the intention being that as schemes are agreed, the budget gets reallocated to the individual projects. </w:t>
      </w:r>
    </w:p>
    <w:p w:rsidR="00723A07" w:rsidRDefault="00723A07" w:rsidP="000E638E">
      <w:pPr>
        <w:pStyle w:val="ListParagraph"/>
      </w:pPr>
    </w:p>
    <w:p w:rsidR="0058224A" w:rsidRPr="002A4BBF" w:rsidRDefault="00FE52A8" w:rsidP="000E638E">
      <w:pPr>
        <w:numPr>
          <w:ilvl w:val="0"/>
          <w:numId w:val="27"/>
        </w:numPr>
        <w:tabs>
          <w:tab w:val="clear" w:pos="360"/>
          <w:tab w:val="num" w:pos="426"/>
          <w:tab w:val="num" w:pos="1985"/>
        </w:tabs>
        <w:ind w:left="567" w:hanging="567"/>
        <w:jc w:val="both"/>
        <w:rPr>
          <w:rFonts w:cs="Arial"/>
          <w:szCs w:val="24"/>
        </w:rPr>
      </w:pPr>
      <w:r>
        <w:t xml:space="preserve"> </w:t>
      </w:r>
      <w:r w:rsidR="00962A6F">
        <w:t xml:space="preserve"> </w:t>
      </w:r>
      <w:r w:rsidR="00576CCD">
        <w:t>Specific projects to be funded by N</w:t>
      </w:r>
      <w:r w:rsidR="00FA2BD2">
        <w:t xml:space="preserve">eighbourhood </w:t>
      </w:r>
      <w:r w:rsidR="00576CCD">
        <w:t xml:space="preserve">CIL </w:t>
      </w:r>
      <w:r w:rsidR="00EB61E1">
        <w:t>can be</w:t>
      </w:r>
      <w:r w:rsidR="00576CCD">
        <w:t xml:space="preserve"> put forward by the relevant Directorates / Ward members and assessed against the criteria outlined in the CIL Allocations report</w:t>
      </w:r>
      <w:r w:rsidR="003F3E80">
        <w:t xml:space="preserve"> agreed by the Major Development Panel in November 2017</w:t>
      </w:r>
      <w:r w:rsidR="00576CCD">
        <w:t>. The</w:t>
      </w:r>
      <w:r w:rsidR="006F5268" w:rsidRPr="00285003">
        <w:t xml:space="preserve"> final decision on what projects are funded from the agreed </w:t>
      </w:r>
      <w:r w:rsidR="00576CCD">
        <w:t>N</w:t>
      </w:r>
      <w:r w:rsidR="006F5268" w:rsidRPr="00285003">
        <w:t xml:space="preserve">CIL allocations </w:t>
      </w:r>
      <w:r w:rsidR="00576CCD">
        <w:t>will be</w:t>
      </w:r>
      <w:r w:rsidR="006F5268" w:rsidRPr="00285003">
        <w:t xml:space="preserve"> delegated to the Divisional Director – Regeneration and Planning, in consultation with the Portfolio Holders for Regeneration and Planning, and Finance and Commercialisation.</w:t>
      </w:r>
    </w:p>
    <w:p w:rsidR="005F297C" w:rsidRPr="00576CCD" w:rsidRDefault="005F297C" w:rsidP="000E638E">
      <w:pPr>
        <w:tabs>
          <w:tab w:val="num" w:pos="1985"/>
        </w:tabs>
        <w:ind w:left="567"/>
        <w:jc w:val="both"/>
        <w:rPr>
          <w:rFonts w:cs="Arial"/>
          <w:szCs w:val="24"/>
        </w:rPr>
      </w:pPr>
    </w:p>
    <w:p w:rsidR="00F40533" w:rsidRDefault="005F297C" w:rsidP="000E638E">
      <w:pPr>
        <w:numPr>
          <w:ilvl w:val="0"/>
          <w:numId w:val="27"/>
        </w:numPr>
        <w:tabs>
          <w:tab w:val="clear" w:pos="360"/>
          <w:tab w:val="num" w:pos="426"/>
          <w:tab w:val="num" w:pos="1985"/>
        </w:tabs>
        <w:ind w:left="567" w:hanging="567"/>
        <w:jc w:val="both"/>
        <w:rPr>
          <w:rFonts w:cs="Arial"/>
          <w:szCs w:val="24"/>
        </w:rPr>
      </w:pPr>
      <w:r w:rsidRPr="000E638E">
        <w:rPr>
          <w:rFonts w:cs="Arial"/>
          <w:szCs w:val="24"/>
        </w:rPr>
        <w:t xml:space="preserve"> </w:t>
      </w:r>
      <w:r w:rsidR="00046DFF">
        <w:rPr>
          <w:rFonts w:cs="Arial"/>
          <w:szCs w:val="24"/>
        </w:rPr>
        <w:t>The following table sets out the CIL funding received to date plus allocations made</w:t>
      </w:r>
      <w:r w:rsidR="00FD0305">
        <w:rPr>
          <w:rFonts w:cs="Arial"/>
          <w:szCs w:val="24"/>
        </w:rPr>
        <w:t xml:space="preserve"> to date</w:t>
      </w:r>
      <w:r w:rsidR="00DD2361">
        <w:rPr>
          <w:rFonts w:cs="Arial"/>
          <w:szCs w:val="24"/>
        </w:rPr>
        <w:t xml:space="preserve">, including the provisional items that </w:t>
      </w:r>
      <w:r w:rsidR="00403B00">
        <w:rPr>
          <w:rFonts w:cs="Arial"/>
          <w:szCs w:val="24"/>
        </w:rPr>
        <w:t xml:space="preserve">could </w:t>
      </w:r>
      <w:r w:rsidR="00DD2361">
        <w:rPr>
          <w:rFonts w:cs="Arial"/>
          <w:szCs w:val="24"/>
        </w:rPr>
        <w:t>be funded from CIL from the new Capital bids set out at Appendix 1.</w:t>
      </w:r>
      <w:r w:rsidR="00046DFF">
        <w:rPr>
          <w:rFonts w:cs="Arial"/>
          <w:szCs w:val="24"/>
        </w:rPr>
        <w:t xml:space="preserve"> </w:t>
      </w:r>
      <w:r w:rsidR="0023468E" w:rsidRPr="00285003">
        <w:rPr>
          <w:rFonts w:cs="Arial"/>
          <w:szCs w:val="24"/>
        </w:rPr>
        <w:t xml:space="preserve"> </w:t>
      </w:r>
    </w:p>
    <w:p w:rsidR="00F40533" w:rsidRDefault="00F40533" w:rsidP="00F40533">
      <w:pPr>
        <w:pStyle w:val="ListParagraph"/>
      </w:pPr>
    </w:p>
    <w:p w:rsidR="00DD2361" w:rsidRPr="00EA216C" w:rsidRDefault="00FC2CCF" w:rsidP="00C745C3">
      <w:pPr>
        <w:tabs>
          <w:tab w:val="num" w:pos="1985"/>
        </w:tabs>
        <w:ind w:left="567"/>
        <w:jc w:val="both"/>
        <w:rPr>
          <w:rFonts w:cs="Arial"/>
          <w:b/>
          <w:szCs w:val="24"/>
        </w:rPr>
      </w:pPr>
      <w:r w:rsidRPr="00EA216C">
        <w:rPr>
          <w:szCs w:val="24"/>
        </w:rPr>
        <w:t xml:space="preserve"> </w:t>
      </w:r>
      <w:r w:rsidR="00F40533" w:rsidRPr="00EA216C">
        <w:rPr>
          <w:rFonts w:cs="Arial"/>
          <w:b/>
          <w:szCs w:val="24"/>
        </w:rPr>
        <w:t xml:space="preserve">Table </w:t>
      </w:r>
      <w:r w:rsidR="00D434AC" w:rsidRPr="00EA216C">
        <w:rPr>
          <w:rFonts w:cs="Arial"/>
          <w:b/>
          <w:szCs w:val="24"/>
        </w:rPr>
        <w:t>5</w:t>
      </w:r>
      <w:r w:rsidR="00F40533" w:rsidRPr="00EA216C">
        <w:rPr>
          <w:rFonts w:cs="Arial"/>
          <w:b/>
          <w:szCs w:val="24"/>
        </w:rPr>
        <w:t xml:space="preserve"> – CIL Funding and Allocations to 30</w:t>
      </w:r>
      <w:r w:rsidR="00F40533" w:rsidRPr="00EA216C">
        <w:rPr>
          <w:rFonts w:cs="Arial"/>
          <w:b/>
          <w:szCs w:val="24"/>
          <w:vertAlign w:val="superscript"/>
        </w:rPr>
        <w:t>th</w:t>
      </w:r>
      <w:r w:rsidR="00F40533" w:rsidRPr="00EA216C">
        <w:rPr>
          <w:rFonts w:cs="Arial"/>
          <w:b/>
          <w:szCs w:val="24"/>
        </w:rPr>
        <w:t xml:space="preserve"> September 2018.</w:t>
      </w:r>
    </w:p>
    <w:p w:rsidR="00812ECD" w:rsidRDefault="00812ECD" w:rsidP="00812ECD">
      <w:pPr>
        <w:pStyle w:val="ListParagraph"/>
        <w:rPr>
          <w:rFonts w:cs="Arial"/>
          <w:szCs w:val="24"/>
        </w:rPr>
      </w:pPr>
      <w:r w:rsidRPr="00812ECD">
        <w:rPr>
          <w:noProof/>
          <w:lang w:eastAsia="en-GB"/>
        </w:rPr>
        <w:drawing>
          <wp:inline distT="0" distB="0" distL="0" distR="0" wp14:anchorId="1687EEC8" wp14:editId="77E03250">
            <wp:extent cx="5301983" cy="212847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2015" cy="2128490"/>
                    </a:xfrm>
                    <a:prstGeom prst="rect">
                      <a:avLst/>
                    </a:prstGeom>
                    <a:noFill/>
                    <a:ln>
                      <a:noFill/>
                    </a:ln>
                  </pic:spPr>
                </pic:pic>
              </a:graphicData>
            </a:graphic>
          </wp:inline>
        </w:drawing>
      </w:r>
    </w:p>
    <w:p w:rsidR="004A7399" w:rsidRDefault="004A7399" w:rsidP="004A7399">
      <w:pPr>
        <w:pStyle w:val="ListParagraph"/>
        <w:rPr>
          <w:rFonts w:cs="Arial"/>
          <w:szCs w:val="24"/>
        </w:rPr>
      </w:pPr>
    </w:p>
    <w:p w:rsidR="00914951" w:rsidRPr="00AA656F" w:rsidRDefault="00DD2361" w:rsidP="00EA216C">
      <w:pPr>
        <w:numPr>
          <w:ilvl w:val="0"/>
          <w:numId w:val="27"/>
        </w:numPr>
        <w:tabs>
          <w:tab w:val="clear" w:pos="360"/>
          <w:tab w:val="num" w:pos="1985"/>
        </w:tabs>
        <w:ind w:left="567" w:hanging="567"/>
        <w:jc w:val="both"/>
        <w:rPr>
          <w:rFonts w:cs="Arial"/>
          <w:szCs w:val="24"/>
        </w:rPr>
      </w:pPr>
      <w:r w:rsidRPr="00914951">
        <w:rPr>
          <w:rFonts w:cs="Arial"/>
          <w:szCs w:val="24"/>
        </w:rPr>
        <w:t xml:space="preserve">The Allocation of CIL funding to date amounts to </w:t>
      </w:r>
      <w:r w:rsidR="00FA2BD2" w:rsidRPr="00914951">
        <w:rPr>
          <w:rFonts w:cs="Arial"/>
          <w:szCs w:val="24"/>
        </w:rPr>
        <w:t>£6.625m.  £559k of this relates to the 5% administration allowance.  After allowing for this a total of £6.066m has been allocated to fund schemes in the Capital Programme as follows:</w:t>
      </w:r>
    </w:p>
    <w:p w:rsidR="00914951" w:rsidRDefault="00914951" w:rsidP="00EA216C">
      <w:pPr>
        <w:ind w:left="567"/>
        <w:jc w:val="both"/>
        <w:rPr>
          <w:rFonts w:cs="Arial"/>
          <w:szCs w:val="24"/>
        </w:rPr>
      </w:pPr>
    </w:p>
    <w:p w:rsidR="00B37D69" w:rsidRDefault="00B37D69" w:rsidP="00EA216C">
      <w:pPr>
        <w:ind w:left="567"/>
        <w:jc w:val="both"/>
        <w:rPr>
          <w:rFonts w:cs="Arial"/>
          <w:szCs w:val="24"/>
        </w:rPr>
      </w:pPr>
    </w:p>
    <w:p w:rsidR="00B37D69" w:rsidRDefault="00B37D69" w:rsidP="00EA216C">
      <w:pPr>
        <w:ind w:left="567"/>
        <w:jc w:val="both"/>
        <w:rPr>
          <w:rFonts w:cs="Arial"/>
          <w:szCs w:val="24"/>
        </w:rPr>
      </w:pPr>
    </w:p>
    <w:p w:rsidR="00B37D69" w:rsidRDefault="00B37D69" w:rsidP="00EA216C">
      <w:pPr>
        <w:ind w:left="567"/>
        <w:jc w:val="both"/>
        <w:rPr>
          <w:rFonts w:cs="Arial"/>
          <w:szCs w:val="24"/>
        </w:rPr>
      </w:pPr>
    </w:p>
    <w:p w:rsidR="00B37D69" w:rsidRDefault="00B37D69" w:rsidP="00EA216C">
      <w:pPr>
        <w:ind w:left="567"/>
        <w:jc w:val="both"/>
        <w:rPr>
          <w:rFonts w:cs="Arial"/>
          <w:szCs w:val="24"/>
        </w:rPr>
      </w:pPr>
    </w:p>
    <w:p w:rsidR="00B37D69" w:rsidRDefault="00B37D69" w:rsidP="00EA216C">
      <w:pPr>
        <w:ind w:left="567"/>
        <w:jc w:val="both"/>
        <w:rPr>
          <w:rFonts w:cs="Arial"/>
          <w:szCs w:val="24"/>
        </w:rPr>
      </w:pPr>
    </w:p>
    <w:p w:rsidR="00B37D69" w:rsidRDefault="00B37D69" w:rsidP="00EA216C">
      <w:pPr>
        <w:ind w:left="567"/>
        <w:jc w:val="both"/>
        <w:rPr>
          <w:rFonts w:cs="Arial"/>
          <w:szCs w:val="24"/>
        </w:rPr>
      </w:pPr>
    </w:p>
    <w:p w:rsidR="00B37D69" w:rsidRDefault="00B37D69" w:rsidP="00EA216C">
      <w:pPr>
        <w:ind w:left="567"/>
        <w:jc w:val="both"/>
        <w:rPr>
          <w:rFonts w:cs="Arial"/>
          <w:szCs w:val="24"/>
        </w:rPr>
      </w:pPr>
    </w:p>
    <w:p w:rsidR="00B37D69" w:rsidRDefault="00B37D69" w:rsidP="00EA216C">
      <w:pPr>
        <w:ind w:left="567"/>
        <w:jc w:val="both"/>
        <w:rPr>
          <w:rFonts w:cs="Arial"/>
          <w:szCs w:val="24"/>
        </w:rPr>
      </w:pPr>
    </w:p>
    <w:p w:rsidR="00FA2BD2" w:rsidRPr="00EA216C" w:rsidRDefault="00F40533" w:rsidP="00F40533">
      <w:pPr>
        <w:jc w:val="both"/>
        <w:rPr>
          <w:rFonts w:cs="Arial"/>
          <w:b/>
          <w:szCs w:val="24"/>
        </w:rPr>
      </w:pPr>
      <w:r>
        <w:rPr>
          <w:rFonts w:cs="Arial"/>
          <w:szCs w:val="24"/>
        </w:rPr>
        <w:tab/>
      </w:r>
      <w:r w:rsidRPr="00EA216C">
        <w:rPr>
          <w:rFonts w:cs="Arial"/>
          <w:b/>
          <w:szCs w:val="24"/>
        </w:rPr>
        <w:t xml:space="preserve">Table </w:t>
      </w:r>
      <w:r w:rsidR="00D434AC" w:rsidRPr="00EA216C">
        <w:rPr>
          <w:rFonts w:cs="Arial"/>
          <w:b/>
          <w:szCs w:val="24"/>
        </w:rPr>
        <w:t>6</w:t>
      </w:r>
      <w:r w:rsidRPr="00EA216C">
        <w:rPr>
          <w:rFonts w:cs="Arial"/>
          <w:b/>
          <w:szCs w:val="24"/>
        </w:rPr>
        <w:t>: Schemes funded from CIL to date</w:t>
      </w:r>
    </w:p>
    <w:p w:rsidR="00FA2BD2" w:rsidRDefault="00FA2BD2" w:rsidP="00FA2BD2">
      <w:pPr>
        <w:ind w:left="567"/>
        <w:jc w:val="both"/>
        <w:rPr>
          <w:rFonts w:cs="Arial"/>
          <w:szCs w:val="24"/>
        </w:rPr>
      </w:pPr>
      <w:r w:rsidRPr="00FA2BD2">
        <w:rPr>
          <w:noProof/>
          <w:lang w:eastAsia="en-GB"/>
        </w:rPr>
        <w:drawing>
          <wp:inline distT="0" distB="0" distL="0" distR="0" wp14:anchorId="00D73B57" wp14:editId="5C0C1AD9">
            <wp:extent cx="5434707" cy="27508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0309" cy="2758781"/>
                    </a:xfrm>
                    <a:prstGeom prst="rect">
                      <a:avLst/>
                    </a:prstGeom>
                    <a:noFill/>
                    <a:ln>
                      <a:noFill/>
                    </a:ln>
                  </pic:spPr>
                </pic:pic>
              </a:graphicData>
            </a:graphic>
          </wp:inline>
        </w:drawing>
      </w:r>
    </w:p>
    <w:p w:rsidR="00FA2BD2" w:rsidRDefault="00FA2BD2" w:rsidP="00FA2BD2">
      <w:pPr>
        <w:pStyle w:val="ListParagraph"/>
        <w:rPr>
          <w:rFonts w:cs="Arial"/>
          <w:szCs w:val="24"/>
        </w:rPr>
      </w:pPr>
    </w:p>
    <w:p w:rsidR="00FA2BD2" w:rsidRDefault="00FA2BD2" w:rsidP="00FA2BD2">
      <w:pPr>
        <w:pStyle w:val="ListParagraph"/>
        <w:rPr>
          <w:rFonts w:cs="Arial"/>
          <w:szCs w:val="24"/>
        </w:rPr>
      </w:pPr>
    </w:p>
    <w:p w:rsidR="00081B71" w:rsidRPr="00F36169" w:rsidRDefault="00FA2BD2" w:rsidP="000E638E">
      <w:pPr>
        <w:numPr>
          <w:ilvl w:val="0"/>
          <w:numId w:val="27"/>
        </w:numPr>
        <w:tabs>
          <w:tab w:val="clear" w:pos="360"/>
          <w:tab w:val="num" w:pos="1985"/>
        </w:tabs>
        <w:ind w:left="567" w:hanging="567"/>
        <w:jc w:val="both"/>
        <w:rPr>
          <w:rFonts w:cs="Arial"/>
          <w:szCs w:val="24"/>
        </w:rPr>
      </w:pPr>
      <w:r>
        <w:rPr>
          <w:rFonts w:cs="Arial"/>
          <w:szCs w:val="24"/>
        </w:rPr>
        <w:t>After allowing for the allocation of CIL to</w:t>
      </w:r>
      <w:r w:rsidR="00F40533">
        <w:rPr>
          <w:rFonts w:cs="Arial"/>
          <w:szCs w:val="24"/>
        </w:rPr>
        <w:t xml:space="preserve"> </w:t>
      </w:r>
      <w:r>
        <w:rPr>
          <w:rFonts w:cs="Arial"/>
          <w:szCs w:val="24"/>
        </w:rPr>
        <w:t>da</w:t>
      </w:r>
      <w:r w:rsidR="00F40533">
        <w:rPr>
          <w:rFonts w:cs="Arial"/>
          <w:szCs w:val="24"/>
        </w:rPr>
        <w:t>te</w:t>
      </w:r>
      <w:r>
        <w:rPr>
          <w:rFonts w:cs="Arial"/>
          <w:szCs w:val="24"/>
        </w:rPr>
        <w:t xml:space="preserve">, a sum of £4.364m is available as Borough CIL funding and £1.499m for Neighbourhood CIL funding that </w:t>
      </w:r>
      <w:r w:rsidR="00F40533">
        <w:rPr>
          <w:rFonts w:cs="Arial"/>
          <w:szCs w:val="24"/>
        </w:rPr>
        <w:t xml:space="preserve">can be used to fund the new or existing Capital Programme. Having been through the new </w:t>
      </w:r>
      <w:r w:rsidR="00AA656F">
        <w:rPr>
          <w:rFonts w:cs="Arial"/>
          <w:szCs w:val="24"/>
        </w:rPr>
        <w:t>c</w:t>
      </w:r>
      <w:r w:rsidR="00F40533">
        <w:rPr>
          <w:rFonts w:cs="Arial"/>
          <w:szCs w:val="24"/>
        </w:rPr>
        <w:t xml:space="preserve">apital </w:t>
      </w:r>
      <w:r w:rsidR="00AA656F">
        <w:rPr>
          <w:rFonts w:cs="Arial"/>
          <w:szCs w:val="24"/>
        </w:rPr>
        <w:t>b</w:t>
      </w:r>
      <w:r w:rsidR="00F40533">
        <w:rPr>
          <w:rFonts w:cs="Arial"/>
          <w:szCs w:val="24"/>
        </w:rPr>
        <w:t xml:space="preserve">ids presented </w:t>
      </w:r>
      <w:r w:rsidR="00AA656F">
        <w:rPr>
          <w:rFonts w:cs="Arial"/>
          <w:szCs w:val="24"/>
        </w:rPr>
        <w:t>in Appendix 1</w:t>
      </w:r>
      <w:r w:rsidR="00F40533">
        <w:rPr>
          <w:rFonts w:cs="Arial"/>
          <w:szCs w:val="24"/>
        </w:rPr>
        <w:t>, a total of £</w:t>
      </w:r>
      <w:r w:rsidR="00AA656F">
        <w:rPr>
          <w:rFonts w:cs="Arial"/>
          <w:szCs w:val="24"/>
        </w:rPr>
        <w:t>4m</w:t>
      </w:r>
      <w:r w:rsidR="00F40533">
        <w:rPr>
          <w:rFonts w:cs="Arial"/>
          <w:szCs w:val="24"/>
        </w:rPr>
        <w:t xml:space="preserve"> has been identified as being eligible to be funded from </w:t>
      </w:r>
      <w:r w:rsidR="00E92F38">
        <w:rPr>
          <w:rFonts w:cs="Arial"/>
          <w:szCs w:val="24"/>
        </w:rPr>
        <w:t>B</w:t>
      </w:r>
      <w:r w:rsidR="00F40533">
        <w:rPr>
          <w:rFonts w:cs="Arial"/>
          <w:szCs w:val="24"/>
        </w:rPr>
        <w:t>CIL.  After applying this sum, £</w:t>
      </w:r>
      <w:r w:rsidR="00E92F38">
        <w:rPr>
          <w:rFonts w:cs="Arial"/>
          <w:szCs w:val="24"/>
        </w:rPr>
        <w:t xml:space="preserve">364k of BCIL will be available and </w:t>
      </w:r>
      <w:r w:rsidR="001E441E">
        <w:rPr>
          <w:rFonts w:cs="Arial"/>
          <w:szCs w:val="24"/>
        </w:rPr>
        <w:t>£1.499</w:t>
      </w:r>
      <w:r w:rsidR="00F40533">
        <w:rPr>
          <w:rFonts w:cs="Arial"/>
          <w:szCs w:val="24"/>
        </w:rPr>
        <w:t xml:space="preserve">m </w:t>
      </w:r>
      <w:r w:rsidR="001E441E">
        <w:rPr>
          <w:rFonts w:cs="Arial"/>
          <w:szCs w:val="24"/>
        </w:rPr>
        <w:t xml:space="preserve">of NCIL </w:t>
      </w:r>
      <w:r w:rsidR="00F40533">
        <w:rPr>
          <w:rFonts w:cs="Arial"/>
          <w:szCs w:val="24"/>
        </w:rPr>
        <w:t xml:space="preserve">will be available to fund future Capital projects which meet the criteria. </w:t>
      </w:r>
      <w:r w:rsidR="00081B71">
        <w:t>Th</w:t>
      </w:r>
      <w:r w:rsidR="00C3471E">
        <w:t xml:space="preserve">e </w:t>
      </w:r>
      <w:r w:rsidR="00081B71">
        <w:t>figure</w:t>
      </w:r>
      <w:r w:rsidR="00C3471E">
        <w:t xml:space="preserve">s in Tables </w:t>
      </w:r>
      <w:r w:rsidR="00D434AC">
        <w:t>5</w:t>
      </w:r>
      <w:r w:rsidR="00C3471E">
        <w:t xml:space="preserve"> and </w:t>
      </w:r>
      <w:r w:rsidR="00D434AC">
        <w:t>6</w:t>
      </w:r>
      <w:r w:rsidR="00F40533">
        <w:t xml:space="preserve"> assume CIL received to 30</w:t>
      </w:r>
      <w:r w:rsidR="00F40533" w:rsidRPr="00F40533">
        <w:rPr>
          <w:vertAlign w:val="superscript"/>
        </w:rPr>
        <w:t>th</w:t>
      </w:r>
      <w:r w:rsidR="00F40533">
        <w:t xml:space="preserve"> September 2018 and </w:t>
      </w:r>
      <w:r w:rsidR="00081B71">
        <w:t>so will be higher by the 31</w:t>
      </w:r>
      <w:r w:rsidR="00081B71" w:rsidRPr="000E638E">
        <w:rPr>
          <w:vertAlign w:val="superscript"/>
        </w:rPr>
        <w:t>st</w:t>
      </w:r>
      <w:r w:rsidR="00081B71">
        <w:t xml:space="preserve"> March 201</w:t>
      </w:r>
      <w:r w:rsidR="00F40533">
        <w:t>9</w:t>
      </w:r>
      <w:r w:rsidR="001E441E">
        <w:t xml:space="preserve"> as and when further CIL funding is received</w:t>
      </w:r>
      <w:r w:rsidR="00EB61E1">
        <w:t>.</w:t>
      </w:r>
    </w:p>
    <w:p w:rsidR="00557940" w:rsidRPr="00F36169" w:rsidRDefault="00557940" w:rsidP="00A26B10">
      <w:pPr>
        <w:ind w:left="567"/>
        <w:jc w:val="both"/>
        <w:rPr>
          <w:rFonts w:cs="Arial"/>
          <w:szCs w:val="24"/>
        </w:rPr>
      </w:pPr>
    </w:p>
    <w:p w:rsidR="00EB61E1" w:rsidRPr="00F36169" w:rsidRDefault="00557940" w:rsidP="00F36169">
      <w:pPr>
        <w:numPr>
          <w:ilvl w:val="0"/>
          <w:numId w:val="27"/>
        </w:numPr>
        <w:tabs>
          <w:tab w:val="clear" w:pos="360"/>
          <w:tab w:val="num" w:pos="1985"/>
        </w:tabs>
        <w:ind w:left="567" w:hanging="567"/>
        <w:jc w:val="both"/>
        <w:rPr>
          <w:rFonts w:cs="Arial"/>
          <w:szCs w:val="24"/>
        </w:rPr>
      </w:pPr>
      <w:r w:rsidRPr="000B7580">
        <w:rPr>
          <w:rFonts w:cs="Arial"/>
          <w:szCs w:val="24"/>
        </w:rPr>
        <w:t>The</w:t>
      </w:r>
      <w:r w:rsidR="000B7580" w:rsidRPr="000B7580">
        <w:rPr>
          <w:rFonts w:cs="Arial"/>
          <w:szCs w:val="24"/>
        </w:rPr>
        <w:t xml:space="preserve"> </w:t>
      </w:r>
      <w:r w:rsidRPr="000B7580">
        <w:rPr>
          <w:rFonts w:cs="Arial"/>
          <w:szCs w:val="24"/>
        </w:rPr>
        <w:t xml:space="preserve">exercise of reviewing where CIL can be applied to the </w:t>
      </w:r>
      <w:r w:rsidR="000B7580" w:rsidRPr="000B7580">
        <w:rPr>
          <w:rFonts w:cs="Arial"/>
          <w:szCs w:val="24"/>
        </w:rPr>
        <w:t xml:space="preserve">new capital has been carried </w:t>
      </w:r>
      <w:r w:rsidR="000B7580">
        <w:rPr>
          <w:rFonts w:cs="Arial"/>
          <w:szCs w:val="24"/>
        </w:rPr>
        <w:t xml:space="preserve">in this report </w:t>
      </w:r>
      <w:r w:rsidR="000B7580" w:rsidRPr="00F36169">
        <w:rPr>
          <w:rFonts w:cs="Arial"/>
          <w:szCs w:val="24"/>
        </w:rPr>
        <w:t>to give an idea of what the</w:t>
      </w:r>
      <w:r w:rsidR="000B7580" w:rsidRPr="000B7580">
        <w:rPr>
          <w:rFonts w:cs="Arial"/>
          <w:szCs w:val="24"/>
        </w:rPr>
        <w:t xml:space="preserve"> net capital financing costs would be of the new capital proposals if CIL were applied.  The final decision on where CIL funding should be applied will be taken once the review of schemes has been made in line with the core offer principles, because </w:t>
      </w:r>
      <w:r w:rsidR="000B7580">
        <w:rPr>
          <w:rFonts w:cs="Arial"/>
          <w:szCs w:val="24"/>
        </w:rPr>
        <w:t>e</w:t>
      </w:r>
      <w:r w:rsidR="00EB61E1">
        <w:t xml:space="preserve">ven </w:t>
      </w:r>
      <w:r w:rsidR="000B7580">
        <w:t>t</w:t>
      </w:r>
      <w:r w:rsidR="00EB61E1">
        <w:t>hough schemes can be funded from CIL and therefore are no cost to the Council, they will still be subject to the same review to see how they fit with the principles of the core offer.</w:t>
      </w:r>
    </w:p>
    <w:p w:rsidR="00081B71" w:rsidRDefault="00081B71" w:rsidP="000E638E">
      <w:pPr>
        <w:pStyle w:val="ListParagraph"/>
      </w:pPr>
    </w:p>
    <w:p w:rsidR="0023468E" w:rsidRPr="0023468E" w:rsidRDefault="00081B71" w:rsidP="000E638E">
      <w:pPr>
        <w:numPr>
          <w:ilvl w:val="0"/>
          <w:numId w:val="27"/>
        </w:numPr>
        <w:tabs>
          <w:tab w:val="clear" w:pos="360"/>
          <w:tab w:val="num" w:pos="1985"/>
        </w:tabs>
        <w:ind w:left="567" w:hanging="567"/>
        <w:jc w:val="both"/>
        <w:rPr>
          <w:rFonts w:cs="Arial"/>
          <w:szCs w:val="24"/>
        </w:rPr>
      </w:pPr>
      <w:r>
        <w:t>A</w:t>
      </w:r>
      <w:r w:rsidR="00E346B3">
        <w:t>s CIL becomes available in future years it will be applied as a funding source for the Capital Programme.</w:t>
      </w:r>
      <w:r>
        <w:t xml:space="preserve"> </w:t>
      </w:r>
    </w:p>
    <w:p w:rsidR="00977A30" w:rsidRDefault="00977A30" w:rsidP="000E638E">
      <w:pPr>
        <w:tabs>
          <w:tab w:val="num" w:pos="1985"/>
        </w:tabs>
        <w:ind w:left="567"/>
        <w:jc w:val="both"/>
        <w:rPr>
          <w:rFonts w:cs="Arial"/>
          <w:b/>
          <w:szCs w:val="24"/>
        </w:rPr>
      </w:pPr>
    </w:p>
    <w:p w:rsidR="00105B2C" w:rsidRPr="00B17D40" w:rsidRDefault="006D68FB" w:rsidP="00EA216C">
      <w:pPr>
        <w:ind w:left="567" w:hanging="207"/>
        <w:jc w:val="both"/>
        <w:rPr>
          <w:rFonts w:cs="Arial"/>
          <w:b/>
          <w:szCs w:val="24"/>
        </w:rPr>
      </w:pPr>
      <w:r w:rsidRPr="00B17D40">
        <w:rPr>
          <w:rFonts w:cs="Arial"/>
          <w:b/>
          <w:szCs w:val="24"/>
        </w:rPr>
        <w:t>H</w:t>
      </w:r>
      <w:r w:rsidR="00914951">
        <w:rPr>
          <w:rFonts w:cs="Arial"/>
          <w:b/>
          <w:szCs w:val="24"/>
        </w:rPr>
        <w:t xml:space="preserve">ousing Revenue Account </w:t>
      </w:r>
      <w:r w:rsidR="00105B2C" w:rsidRPr="00B17D40">
        <w:rPr>
          <w:rFonts w:cs="Arial"/>
          <w:b/>
          <w:szCs w:val="24"/>
        </w:rPr>
        <w:t>(HRA)</w:t>
      </w:r>
    </w:p>
    <w:p w:rsidR="00480518" w:rsidRPr="00EA216C" w:rsidRDefault="00105B2C" w:rsidP="00EA216C">
      <w:pPr>
        <w:pStyle w:val="ListParagraph"/>
        <w:numPr>
          <w:ilvl w:val="0"/>
          <w:numId w:val="27"/>
        </w:numPr>
        <w:jc w:val="both"/>
      </w:pPr>
      <w:r w:rsidRPr="00B17D40">
        <w:rPr>
          <w:rFonts w:cs="Arial"/>
          <w:szCs w:val="24"/>
        </w:rPr>
        <w:t xml:space="preserve">The </w:t>
      </w:r>
      <w:r w:rsidR="00BC19E9" w:rsidRPr="00B17D40">
        <w:rPr>
          <w:rFonts w:cs="Arial"/>
          <w:szCs w:val="24"/>
        </w:rPr>
        <w:t xml:space="preserve">proposed </w:t>
      </w:r>
      <w:r w:rsidRPr="00B17D40">
        <w:rPr>
          <w:rFonts w:cs="Arial"/>
          <w:szCs w:val="24"/>
        </w:rPr>
        <w:t>HRA Capital Programme is detailed in a separate report to Cabinet elsewhere on this agenda.</w:t>
      </w:r>
      <w:r w:rsidR="00E23647" w:rsidRPr="00B17D40">
        <w:rPr>
          <w:rFonts w:cs="Arial"/>
          <w:szCs w:val="24"/>
        </w:rPr>
        <w:t xml:space="preserve">  Any implications from the HRA Capital Programme are funded from the Housing Revenue Account and do not impact upon the General Fund Budget.</w:t>
      </w:r>
      <w:r w:rsidR="00B17D40" w:rsidRPr="00B17D40">
        <w:rPr>
          <w:rFonts w:cs="Arial"/>
        </w:rPr>
        <w:t xml:space="preserve"> The report sets out the detail, but in summary, the </w:t>
      </w:r>
      <w:r w:rsidR="00B17D40" w:rsidRPr="002A4BBF">
        <w:rPr>
          <w:rFonts w:cs="Arial"/>
        </w:rPr>
        <w:t>HRA general capital programme has been reduced from £8.6m to £</w:t>
      </w:r>
      <w:r w:rsidR="00B17D40" w:rsidRPr="00576CCD">
        <w:rPr>
          <w:rFonts w:cs="Arial"/>
        </w:rPr>
        <w:t xml:space="preserve">5.45m with the focus being on Health &amp; Safety works and </w:t>
      </w:r>
      <w:r w:rsidR="00B17D40" w:rsidRPr="00576CCD">
        <w:rPr>
          <w:rFonts w:cs="Arial"/>
        </w:rPr>
        <w:lastRenderedPageBreak/>
        <w:t>statutory requirements as part of the wider service review aimed as restricting expenditure to essential works only.</w:t>
      </w:r>
    </w:p>
    <w:p w:rsidR="00CA7F5A" w:rsidRDefault="00CA7F5A" w:rsidP="00EA216C">
      <w:pPr>
        <w:pStyle w:val="ListParagraph"/>
        <w:ind w:left="360"/>
        <w:jc w:val="both"/>
      </w:pPr>
    </w:p>
    <w:p w:rsidR="00914951" w:rsidRPr="007F1122" w:rsidRDefault="00914951" w:rsidP="00EA216C">
      <w:pPr>
        <w:pStyle w:val="ListParagraph"/>
        <w:ind w:left="360"/>
        <w:jc w:val="both"/>
      </w:pPr>
    </w:p>
    <w:p w:rsidR="00480518" w:rsidRPr="00EA216C" w:rsidRDefault="00480518" w:rsidP="00EA216C">
      <w:pPr>
        <w:tabs>
          <w:tab w:val="num" w:pos="2127"/>
        </w:tabs>
        <w:ind w:firstLine="426"/>
        <w:outlineLvl w:val="1"/>
        <w:rPr>
          <w:rFonts w:cs="Arial"/>
          <w:b/>
          <w:bCs/>
          <w:szCs w:val="24"/>
        </w:rPr>
      </w:pPr>
      <w:r w:rsidRPr="00EA216C">
        <w:rPr>
          <w:rFonts w:cs="Arial"/>
          <w:b/>
          <w:bCs/>
          <w:szCs w:val="24"/>
        </w:rPr>
        <w:t xml:space="preserve">Options considered </w:t>
      </w:r>
    </w:p>
    <w:p w:rsidR="00480518" w:rsidRPr="00480518" w:rsidRDefault="001F44EC" w:rsidP="00EA216C">
      <w:pPr>
        <w:numPr>
          <w:ilvl w:val="0"/>
          <w:numId w:val="27"/>
        </w:numPr>
        <w:tabs>
          <w:tab w:val="clear" w:pos="360"/>
          <w:tab w:val="num" w:pos="2268"/>
        </w:tabs>
        <w:ind w:left="426" w:hanging="709"/>
        <w:jc w:val="both"/>
        <w:rPr>
          <w:rFonts w:cs="Arial"/>
          <w:szCs w:val="24"/>
        </w:rPr>
      </w:pPr>
      <w:r>
        <w:t>A number of capital proposals are considered during the budget setting process.</w:t>
      </w:r>
    </w:p>
    <w:p w:rsidR="00480518" w:rsidRPr="00480518" w:rsidRDefault="00480518" w:rsidP="00480518"/>
    <w:p w:rsidR="00480518" w:rsidRPr="00EA216C" w:rsidRDefault="00480518" w:rsidP="00EA216C">
      <w:pPr>
        <w:ind w:firstLine="426"/>
        <w:outlineLvl w:val="1"/>
        <w:rPr>
          <w:rFonts w:cs="Arial"/>
          <w:b/>
          <w:bCs/>
          <w:szCs w:val="24"/>
        </w:rPr>
      </w:pPr>
      <w:r w:rsidRPr="00EA216C">
        <w:rPr>
          <w:rFonts w:cs="Arial"/>
          <w:b/>
          <w:bCs/>
          <w:szCs w:val="24"/>
        </w:rPr>
        <w:t>Legal Implications</w:t>
      </w:r>
    </w:p>
    <w:p w:rsidR="00480518" w:rsidRDefault="00480518" w:rsidP="00EA216C">
      <w:pPr>
        <w:numPr>
          <w:ilvl w:val="0"/>
          <w:numId w:val="27"/>
        </w:numPr>
        <w:tabs>
          <w:tab w:val="clear" w:pos="360"/>
          <w:tab w:val="num" w:pos="2268"/>
        </w:tabs>
        <w:ind w:left="426" w:hanging="426"/>
        <w:jc w:val="both"/>
      </w:pPr>
      <w:r w:rsidRPr="00480518">
        <w:t xml:space="preserve">Under the Financial Regulations paragraph B2 full council is responsible for agreeing the authorities policy framework which are proposed by the cabinet </w:t>
      </w:r>
      <w:r w:rsidR="00D15CFA">
        <w:t xml:space="preserve">and </w:t>
      </w:r>
      <w:r w:rsidRPr="00480518">
        <w:t>this includes the capital programme.</w:t>
      </w:r>
      <w:r w:rsidR="00FA1D36">
        <w:t xml:space="preserve"> Under B41 the Director of Finance is responsible for producing an annual capital strategy for Cabinet to recommend to Council.</w:t>
      </w:r>
    </w:p>
    <w:p w:rsidR="000C14C9" w:rsidRPr="00480518" w:rsidRDefault="000C14C9" w:rsidP="000C14C9">
      <w:pPr>
        <w:ind w:left="709"/>
        <w:jc w:val="both"/>
      </w:pPr>
    </w:p>
    <w:p w:rsidR="00480518" w:rsidRPr="00EA216C" w:rsidRDefault="00480518" w:rsidP="00EA216C">
      <w:pPr>
        <w:ind w:firstLine="426"/>
        <w:outlineLvl w:val="1"/>
        <w:rPr>
          <w:rFonts w:cs="Arial"/>
          <w:b/>
          <w:bCs/>
          <w:szCs w:val="24"/>
        </w:rPr>
      </w:pPr>
      <w:r w:rsidRPr="00EA216C">
        <w:rPr>
          <w:rFonts w:cs="Arial"/>
          <w:b/>
          <w:bCs/>
          <w:szCs w:val="24"/>
        </w:rPr>
        <w:t>Financial Implications</w:t>
      </w:r>
    </w:p>
    <w:p w:rsid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Financial matters are integral to the report.</w:t>
      </w:r>
      <w:r w:rsidR="00D47AA9">
        <w:rPr>
          <w:rFonts w:cs="Arial"/>
          <w:szCs w:val="24"/>
        </w:rPr>
        <w:t xml:space="preserve">  The capital financing costs of all capital </w:t>
      </w:r>
      <w:r w:rsidR="007C120B">
        <w:rPr>
          <w:rFonts w:cs="Arial"/>
          <w:szCs w:val="24"/>
        </w:rPr>
        <w:t xml:space="preserve">investment </w:t>
      </w:r>
      <w:r w:rsidR="00D47AA9">
        <w:rPr>
          <w:rFonts w:cs="Arial"/>
          <w:szCs w:val="24"/>
        </w:rPr>
        <w:t xml:space="preserve">must be </w:t>
      </w:r>
      <w:r w:rsidR="007C120B">
        <w:rPr>
          <w:rFonts w:cs="Arial"/>
          <w:szCs w:val="24"/>
        </w:rPr>
        <w:t xml:space="preserve">provided for within </w:t>
      </w:r>
      <w:r w:rsidR="00D47AA9">
        <w:rPr>
          <w:rFonts w:cs="Arial"/>
          <w:szCs w:val="24"/>
        </w:rPr>
        <w:t xml:space="preserve">the revenue budget. </w:t>
      </w:r>
    </w:p>
    <w:p w:rsidR="00CA62F1" w:rsidRDefault="00CA62F1" w:rsidP="00A26B10">
      <w:pPr>
        <w:ind w:left="709"/>
        <w:jc w:val="both"/>
        <w:rPr>
          <w:rFonts w:cs="Arial"/>
          <w:szCs w:val="24"/>
        </w:rPr>
      </w:pPr>
    </w:p>
    <w:p w:rsidR="00CA62F1" w:rsidRPr="00EA216C" w:rsidRDefault="00914951" w:rsidP="00EA216C">
      <w:pPr>
        <w:ind w:left="426"/>
        <w:outlineLvl w:val="1"/>
        <w:rPr>
          <w:rFonts w:cs="Arial"/>
          <w:b/>
          <w:bCs/>
          <w:szCs w:val="24"/>
        </w:rPr>
      </w:pPr>
      <w:r>
        <w:rPr>
          <w:rFonts w:cs="Arial"/>
          <w:szCs w:val="24"/>
        </w:rPr>
        <w:t xml:space="preserve"> </w:t>
      </w:r>
      <w:r w:rsidR="00CA62F1" w:rsidRPr="00EA216C">
        <w:rPr>
          <w:rFonts w:cs="Arial"/>
          <w:b/>
          <w:bCs/>
          <w:szCs w:val="24"/>
        </w:rPr>
        <w:t>Procurement Implications</w:t>
      </w:r>
    </w:p>
    <w:p w:rsidR="00CA62F1" w:rsidRPr="00CA62F1" w:rsidRDefault="00CA62F1" w:rsidP="00EA216C">
      <w:pPr>
        <w:pStyle w:val="ListParagraph"/>
        <w:numPr>
          <w:ilvl w:val="0"/>
          <w:numId w:val="27"/>
        </w:numPr>
        <w:outlineLvl w:val="1"/>
        <w:rPr>
          <w:rFonts w:cs="Arial"/>
          <w:szCs w:val="24"/>
        </w:rPr>
      </w:pPr>
      <w:r>
        <w:rPr>
          <w:rFonts w:cs="Arial"/>
          <w:b/>
          <w:bCs/>
          <w:sz w:val="28"/>
          <w:szCs w:val="32"/>
        </w:rPr>
        <w:t xml:space="preserve"> </w:t>
      </w:r>
      <w:r w:rsidRPr="00A26B10">
        <w:rPr>
          <w:rFonts w:cs="Arial"/>
          <w:szCs w:val="24"/>
        </w:rPr>
        <w:t>There are no procurement implications arising from this report.</w:t>
      </w:r>
    </w:p>
    <w:p w:rsidR="00480518" w:rsidRDefault="00480518" w:rsidP="00480518"/>
    <w:p w:rsidR="00480518" w:rsidRPr="00EA216C" w:rsidRDefault="00914951" w:rsidP="00EA216C">
      <w:pPr>
        <w:ind w:firstLine="360"/>
        <w:outlineLvl w:val="1"/>
        <w:rPr>
          <w:rFonts w:cs="Arial"/>
          <w:b/>
          <w:bCs/>
          <w:szCs w:val="24"/>
        </w:rPr>
      </w:pPr>
      <w:r w:rsidRPr="00EA216C">
        <w:rPr>
          <w:rFonts w:cs="Arial"/>
          <w:b/>
          <w:bCs/>
          <w:szCs w:val="24"/>
        </w:rPr>
        <w:t xml:space="preserve"> </w:t>
      </w:r>
      <w:r w:rsidR="00480518" w:rsidRPr="00EA216C">
        <w:rPr>
          <w:rFonts w:cs="Arial"/>
          <w:b/>
          <w:bCs/>
          <w:szCs w:val="24"/>
        </w:rPr>
        <w:t>Performance Issues</w:t>
      </w:r>
    </w:p>
    <w:p w:rsidR="00480518" w:rsidRPr="00480518" w:rsidRDefault="00480518" w:rsidP="00EA216C">
      <w:pPr>
        <w:numPr>
          <w:ilvl w:val="0"/>
          <w:numId w:val="27"/>
        </w:numPr>
        <w:tabs>
          <w:tab w:val="clear" w:pos="360"/>
          <w:tab w:val="num" w:pos="2268"/>
        </w:tabs>
        <w:ind w:left="426" w:hanging="426"/>
        <w:jc w:val="both"/>
        <w:rPr>
          <w:rFonts w:cs="Arial"/>
          <w:szCs w:val="24"/>
        </w:rPr>
      </w:pPr>
      <w:r w:rsidRPr="00480518">
        <w:rPr>
          <w:rFonts w:cs="Arial"/>
          <w:szCs w:val="24"/>
        </w:rPr>
        <w:t>The capital programme proposed represents a significant investment by the Council in infrastructure.  This will have an impact on a range of performance indicators across the Council’s services.</w:t>
      </w:r>
    </w:p>
    <w:p w:rsidR="00480518" w:rsidRPr="00480518" w:rsidRDefault="00480518" w:rsidP="00480518">
      <w:pPr>
        <w:ind w:left="567" w:hanging="567"/>
        <w:jc w:val="both"/>
        <w:rPr>
          <w:rFonts w:cs="Arial"/>
          <w:szCs w:val="24"/>
          <w:highlight w:val="green"/>
        </w:rPr>
      </w:pPr>
    </w:p>
    <w:p w:rsidR="00480518" w:rsidRDefault="007F4BDA" w:rsidP="00EA216C">
      <w:pPr>
        <w:numPr>
          <w:ilvl w:val="0"/>
          <w:numId w:val="27"/>
        </w:numPr>
        <w:tabs>
          <w:tab w:val="clear" w:pos="360"/>
          <w:tab w:val="num" w:pos="2268"/>
        </w:tabs>
        <w:ind w:left="426" w:hanging="426"/>
        <w:jc w:val="both"/>
        <w:rPr>
          <w:rFonts w:cs="Arial"/>
          <w:szCs w:val="24"/>
        </w:rPr>
      </w:pPr>
      <w:r>
        <w:rPr>
          <w:rFonts w:cs="Arial"/>
          <w:szCs w:val="24"/>
        </w:rPr>
        <w:t xml:space="preserve"> </w:t>
      </w:r>
      <w:r w:rsidR="00480518" w:rsidRPr="007F4BDA">
        <w:rPr>
          <w:rFonts w:cs="Arial"/>
          <w:szCs w:val="24"/>
        </w:rPr>
        <w:t xml:space="preserve">Monitoring of the approved </w:t>
      </w:r>
      <w:r w:rsidR="00953CF4" w:rsidRPr="007F4BDA">
        <w:rPr>
          <w:rFonts w:cs="Arial"/>
          <w:szCs w:val="24"/>
        </w:rPr>
        <w:t>programme</w:t>
      </w:r>
      <w:r w:rsidR="00480518" w:rsidRPr="007F4BDA">
        <w:rPr>
          <w:rFonts w:cs="Arial"/>
          <w:szCs w:val="24"/>
        </w:rPr>
        <w:t xml:space="preserve"> is ongoing and is essential for </w:t>
      </w:r>
      <w:r>
        <w:rPr>
          <w:rFonts w:cs="Arial"/>
          <w:szCs w:val="24"/>
        </w:rPr>
        <w:t xml:space="preserve">  </w:t>
      </w:r>
      <w:r w:rsidR="00914951">
        <w:rPr>
          <w:rFonts w:cs="Arial"/>
          <w:szCs w:val="24"/>
        </w:rPr>
        <w:t xml:space="preserve"> </w:t>
      </w:r>
      <w:r w:rsidR="00480518" w:rsidRPr="007F4BDA">
        <w:rPr>
          <w:rFonts w:cs="Arial"/>
          <w:szCs w:val="24"/>
        </w:rPr>
        <w:t xml:space="preserve">good financial management. </w:t>
      </w:r>
    </w:p>
    <w:p w:rsidR="007F4BDA" w:rsidRDefault="007F4BDA" w:rsidP="007F4BDA">
      <w:pPr>
        <w:pStyle w:val="ListParagraph"/>
        <w:rPr>
          <w:rFonts w:cs="Arial"/>
          <w:szCs w:val="24"/>
        </w:rPr>
      </w:pPr>
    </w:p>
    <w:p w:rsidR="00480518" w:rsidRPr="00480518" w:rsidRDefault="00480518" w:rsidP="00EA216C">
      <w:pPr>
        <w:numPr>
          <w:ilvl w:val="0"/>
          <w:numId w:val="27"/>
        </w:numPr>
        <w:tabs>
          <w:tab w:val="clear" w:pos="360"/>
          <w:tab w:val="num" w:pos="2268"/>
        </w:tabs>
        <w:ind w:left="567" w:hanging="567"/>
        <w:jc w:val="both"/>
        <w:rPr>
          <w:b/>
          <w:color w:val="0000FF"/>
          <w:sz w:val="28"/>
          <w:szCs w:val="28"/>
        </w:rPr>
      </w:pPr>
      <w:r w:rsidRPr="00480518">
        <w:t xml:space="preserve">It is proposed that a performance target is set of 90% of the approved budget </w:t>
      </w:r>
      <w:r w:rsidR="00D15CFA">
        <w:t>to be spent in year</w:t>
      </w:r>
      <w:r w:rsidRPr="00480518">
        <w:t>.  Having approved an investment programme it is important that the programme is then substantially delivered in the planned timeframe, in line with member priorities.</w:t>
      </w:r>
    </w:p>
    <w:p w:rsidR="001E441E" w:rsidRPr="00480518" w:rsidRDefault="001E441E" w:rsidP="00480518">
      <w:pPr>
        <w:ind w:left="567" w:hanging="567"/>
        <w:rPr>
          <w:color w:val="FF0000"/>
        </w:rPr>
      </w:pPr>
    </w:p>
    <w:p w:rsidR="00480518" w:rsidRPr="00EA216C" w:rsidRDefault="00480518" w:rsidP="00EA216C">
      <w:pPr>
        <w:ind w:left="567"/>
        <w:outlineLvl w:val="1"/>
        <w:rPr>
          <w:rFonts w:cs="Arial"/>
          <w:b/>
          <w:bCs/>
          <w:szCs w:val="24"/>
        </w:rPr>
      </w:pPr>
      <w:r w:rsidRPr="00EA216C">
        <w:rPr>
          <w:rFonts w:cs="Arial"/>
          <w:b/>
          <w:bCs/>
          <w:szCs w:val="24"/>
        </w:rPr>
        <w:t>Risk Management Implications</w:t>
      </w:r>
    </w:p>
    <w:p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The individual schemes within the programme will either be incorporated within departmental registers or have individual registers. A significant consideration in developing the programme has been the risks arising from not keeping our infrastructure in good order.  Not doing so would lead to an increase in health and safety risks and additional costs in replacing assets when they deteriorate too much to repair.</w:t>
      </w:r>
    </w:p>
    <w:p w:rsidR="00480518" w:rsidRPr="00480518" w:rsidRDefault="00480518" w:rsidP="00480518">
      <w:pPr>
        <w:ind w:left="567" w:right="141" w:hanging="567"/>
        <w:rPr>
          <w:rFonts w:cs="Arial"/>
          <w:szCs w:val="24"/>
        </w:rPr>
      </w:pPr>
    </w:p>
    <w:p w:rsidR="00480518" w:rsidRPr="00EA216C" w:rsidRDefault="00480518" w:rsidP="00EA216C">
      <w:pPr>
        <w:keepNext/>
        <w:ind w:left="567"/>
        <w:outlineLvl w:val="1"/>
        <w:rPr>
          <w:rFonts w:cs="Arial"/>
          <w:b/>
          <w:bCs/>
          <w:color w:val="FF0000"/>
          <w:szCs w:val="24"/>
        </w:rPr>
      </w:pPr>
      <w:r w:rsidRPr="00EA216C">
        <w:rPr>
          <w:rFonts w:cs="Arial"/>
          <w:b/>
          <w:bCs/>
          <w:szCs w:val="24"/>
        </w:rPr>
        <w:t>Equalities implications / Public Sector Equality Duty</w:t>
      </w:r>
    </w:p>
    <w:p w:rsidR="00480518" w:rsidRP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One of the aims of the Capital Strategy is to ensure the responsible allocation of funding in line with the Council’s priorities and legislative requirements such as equalities legislation. Equalities implications form part of the way that the projects are prioritised.  The officer’s initial views are that no protected group is adversely affected by the proposals.  A number of the projects proposed in the programme will require full Equality Impact Assessments before they commence. Following consultation the impact will be further reviewed before the programme is finalised.</w:t>
      </w:r>
    </w:p>
    <w:p w:rsidR="00480518" w:rsidRPr="00480518" w:rsidRDefault="00480518" w:rsidP="00480518">
      <w:pPr>
        <w:tabs>
          <w:tab w:val="left" w:pos="6150"/>
        </w:tabs>
        <w:ind w:left="567" w:hanging="567"/>
        <w:jc w:val="both"/>
      </w:pPr>
      <w:r w:rsidRPr="00480518">
        <w:lastRenderedPageBreak/>
        <w:tab/>
      </w:r>
    </w:p>
    <w:p w:rsidR="00480518" w:rsidRDefault="00480518" w:rsidP="00EA216C">
      <w:pPr>
        <w:numPr>
          <w:ilvl w:val="0"/>
          <w:numId w:val="27"/>
        </w:numPr>
        <w:tabs>
          <w:tab w:val="clear" w:pos="360"/>
          <w:tab w:val="num" w:pos="2268"/>
        </w:tabs>
        <w:ind w:left="567" w:hanging="567"/>
        <w:jc w:val="both"/>
        <w:rPr>
          <w:rFonts w:cs="Arial"/>
          <w:szCs w:val="24"/>
        </w:rPr>
      </w:pPr>
      <w:r w:rsidRPr="00480518">
        <w:rPr>
          <w:rFonts w:cs="Arial"/>
          <w:szCs w:val="24"/>
        </w:rPr>
        <w:t>Decision makers should have due regard to the public sector equality duty in making their decisions. Consideration of the duties should precede the decision. It is important that Cabinet has regard to the statutory grounds in the light of all available material such as material in the press and letters from residents. The statutory grounds of the public sector equality duty are found at section 149 of the Equality Act 2010 and are as follows:</w:t>
      </w:r>
      <w:r w:rsidR="00914951">
        <w:rPr>
          <w:rFonts w:cs="Arial"/>
          <w:szCs w:val="24"/>
        </w:rPr>
        <w:t xml:space="preserve"> </w:t>
      </w:r>
    </w:p>
    <w:p w:rsidR="00914951" w:rsidRPr="00480518" w:rsidRDefault="00914951" w:rsidP="00EA216C">
      <w:pPr>
        <w:ind w:left="567"/>
        <w:jc w:val="both"/>
        <w:rPr>
          <w:rFonts w:cs="Arial"/>
          <w:szCs w:val="24"/>
        </w:rPr>
      </w:pPr>
    </w:p>
    <w:p w:rsidR="00480518" w:rsidRPr="00480518" w:rsidRDefault="00FC2CCF" w:rsidP="00480518">
      <w:pPr>
        <w:ind w:left="567"/>
        <w:jc w:val="both"/>
        <w:rPr>
          <w:rFonts w:cs="Arial"/>
          <w:i/>
          <w:iCs/>
          <w:szCs w:val="24"/>
        </w:rPr>
      </w:pPr>
      <w:r>
        <w:rPr>
          <w:rFonts w:cs="Arial"/>
          <w:i/>
          <w:iCs/>
          <w:szCs w:val="24"/>
        </w:rPr>
        <w:t xml:space="preserve">  </w:t>
      </w:r>
      <w:r w:rsidR="00480518" w:rsidRPr="00480518">
        <w:rPr>
          <w:rFonts w:cs="Arial"/>
          <w:i/>
          <w:iCs/>
          <w:szCs w:val="24"/>
        </w:rPr>
        <w:t xml:space="preserve">A public authority must, in the exercise of its functions, have due regard </w:t>
      </w:r>
      <w:r>
        <w:rPr>
          <w:rFonts w:cs="Arial"/>
          <w:i/>
          <w:iCs/>
          <w:szCs w:val="24"/>
        </w:rPr>
        <w:t xml:space="preserve">   </w:t>
      </w:r>
      <w:r w:rsidR="00480518" w:rsidRPr="00480518">
        <w:rPr>
          <w:rFonts w:cs="Arial"/>
          <w:i/>
          <w:iCs/>
          <w:szCs w:val="24"/>
        </w:rPr>
        <w:t>to the need to:</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eliminate discrimination, harassment, victimisation and any other conduct that is prohibited by or under this Act;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advance equality of opportunity between persons who share a relevant protected characteristic and persons who do not share it;</w:t>
      </w:r>
    </w:p>
    <w:p w:rsidR="00480518" w:rsidRPr="00480518" w:rsidRDefault="00480518" w:rsidP="00480518">
      <w:pPr>
        <w:numPr>
          <w:ilvl w:val="1"/>
          <w:numId w:val="30"/>
        </w:numPr>
        <w:ind w:left="748" w:firstLine="0"/>
        <w:jc w:val="both"/>
        <w:rPr>
          <w:rFonts w:cs="Arial"/>
          <w:i/>
          <w:iCs/>
          <w:szCs w:val="24"/>
        </w:rPr>
      </w:pPr>
      <w:r w:rsidRPr="00480518">
        <w:rPr>
          <w:rFonts w:cs="Arial"/>
          <w:i/>
          <w:iCs/>
          <w:szCs w:val="24"/>
        </w:rPr>
        <w:t>foster good relations between persons who share a relevant protected characteristic and persons who do not share it.</w:t>
      </w:r>
    </w:p>
    <w:p w:rsidR="00480518" w:rsidRPr="00480518" w:rsidRDefault="00480518" w:rsidP="00480518">
      <w:pPr>
        <w:ind w:left="748"/>
        <w:jc w:val="both"/>
        <w:rPr>
          <w:rFonts w:cs="Arial"/>
          <w:i/>
          <w:iCs/>
          <w:szCs w:val="24"/>
        </w:rPr>
      </w:pPr>
      <w:r w:rsidRPr="00480518">
        <w:rPr>
          <w:rFonts w:cs="Arial"/>
          <w:i/>
          <w:iCs/>
          <w:szCs w:val="24"/>
        </w:rPr>
        <w:t>The relevant protected characteristics are: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Age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Disability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Gender reassignment</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Pregnancy and maternity</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Race,</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Religion or belief</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Sexual orientation</w:t>
      </w:r>
    </w:p>
    <w:p w:rsidR="00480518" w:rsidRPr="00480518" w:rsidRDefault="00480518" w:rsidP="00480518">
      <w:pPr>
        <w:numPr>
          <w:ilvl w:val="0"/>
          <w:numId w:val="31"/>
        </w:numPr>
        <w:ind w:left="748" w:firstLine="0"/>
        <w:jc w:val="both"/>
        <w:rPr>
          <w:rFonts w:cs="Arial"/>
          <w:i/>
          <w:iCs/>
          <w:szCs w:val="24"/>
        </w:rPr>
      </w:pPr>
      <w:r w:rsidRPr="00480518">
        <w:rPr>
          <w:rFonts w:cs="Arial"/>
          <w:i/>
          <w:iCs/>
          <w:szCs w:val="24"/>
        </w:rPr>
        <w:t>Marriage and Civil partnership</w:t>
      </w:r>
    </w:p>
    <w:p w:rsidR="00480518" w:rsidRPr="00480518" w:rsidRDefault="00480518" w:rsidP="00480518">
      <w:pPr>
        <w:jc w:val="both"/>
        <w:rPr>
          <w:rFonts w:cs="Arial"/>
        </w:rPr>
      </w:pPr>
    </w:p>
    <w:p w:rsidR="00480518" w:rsidRPr="00480518" w:rsidRDefault="00480518" w:rsidP="00FF590B">
      <w:pPr>
        <w:numPr>
          <w:ilvl w:val="0"/>
          <w:numId w:val="27"/>
        </w:numPr>
        <w:tabs>
          <w:tab w:val="clear" w:pos="360"/>
          <w:tab w:val="num" w:pos="2268"/>
        </w:tabs>
        <w:ind w:left="709" w:hanging="709"/>
        <w:jc w:val="both"/>
        <w:rPr>
          <w:rFonts w:cs="Arial"/>
          <w:szCs w:val="24"/>
        </w:rPr>
      </w:pPr>
      <w:r w:rsidRPr="00480518">
        <w:rPr>
          <w:rFonts w:cs="Arial"/>
          <w:szCs w:val="24"/>
        </w:rPr>
        <w:t>Consultation responses received on this draft programme will be taken into account in drafting the final EIA</w:t>
      </w:r>
      <w:bookmarkStart w:id="1" w:name="LastEdit"/>
      <w:bookmarkEnd w:id="1"/>
      <w:r w:rsidRPr="00480518">
        <w:rPr>
          <w:rFonts w:cs="Arial"/>
          <w:szCs w:val="24"/>
        </w:rPr>
        <w:t>.</w:t>
      </w:r>
    </w:p>
    <w:p w:rsidR="00480518" w:rsidRPr="00480518" w:rsidRDefault="00480518" w:rsidP="00480518">
      <w:pPr>
        <w:ind w:left="567" w:hanging="567"/>
      </w:pPr>
    </w:p>
    <w:p w:rsidR="00480518" w:rsidRPr="00480518" w:rsidRDefault="00480518" w:rsidP="00EA216C">
      <w:pPr>
        <w:ind w:left="567"/>
        <w:rPr>
          <w:b/>
          <w:sz w:val="28"/>
          <w:szCs w:val="28"/>
        </w:rPr>
      </w:pPr>
      <w:r w:rsidRPr="00480518">
        <w:rPr>
          <w:b/>
          <w:sz w:val="28"/>
          <w:szCs w:val="28"/>
        </w:rPr>
        <w:t xml:space="preserve">Council Priorities </w:t>
      </w:r>
    </w:p>
    <w:p w:rsidR="00480518" w:rsidRPr="00480518" w:rsidRDefault="00480518" w:rsidP="00480518">
      <w:pPr>
        <w:tabs>
          <w:tab w:val="left" w:pos="7470"/>
        </w:tabs>
        <w:ind w:left="567"/>
        <w:rPr>
          <w:rFonts w:cs="Arial"/>
          <w:szCs w:val="24"/>
        </w:rPr>
      </w:pPr>
      <w:r w:rsidRPr="00480518">
        <w:rPr>
          <w:rFonts w:cs="Arial"/>
          <w:szCs w:val="24"/>
        </w:rPr>
        <w:t>The Council’s vision is:</w:t>
      </w:r>
      <w:r w:rsidRPr="00480518">
        <w:rPr>
          <w:rFonts w:cs="Arial"/>
          <w:szCs w:val="24"/>
        </w:rPr>
        <w:tab/>
      </w:r>
    </w:p>
    <w:p w:rsidR="00480518" w:rsidRPr="00480518" w:rsidRDefault="00480518" w:rsidP="00480518">
      <w:pPr>
        <w:ind w:left="567" w:hanging="567"/>
        <w:rPr>
          <w:rFonts w:cs="Arial"/>
          <w:szCs w:val="24"/>
        </w:rPr>
      </w:pPr>
    </w:p>
    <w:p w:rsidR="00480518" w:rsidRPr="00480518" w:rsidRDefault="00480518" w:rsidP="00EA216C">
      <w:pPr>
        <w:ind w:left="567"/>
        <w:rPr>
          <w:rFonts w:cs="Arial"/>
          <w:szCs w:val="24"/>
        </w:rPr>
      </w:pPr>
      <w:r w:rsidRPr="00480518">
        <w:rPr>
          <w:rFonts w:cs="Arial"/>
          <w:b/>
          <w:szCs w:val="24"/>
        </w:rPr>
        <w:t>Working Together to Make a Difference for Harrow</w:t>
      </w:r>
      <w:r w:rsidRPr="00480518">
        <w:rPr>
          <w:rFonts w:cs="Arial"/>
          <w:szCs w:val="24"/>
        </w:rPr>
        <w:t xml:space="preserve"> </w:t>
      </w:r>
    </w:p>
    <w:p w:rsidR="00D372BF" w:rsidRDefault="00480518" w:rsidP="00D372BF">
      <w:pPr>
        <w:ind w:left="567"/>
        <w:jc w:val="both"/>
        <w:rPr>
          <w:rFonts w:cs="Arial"/>
          <w:szCs w:val="24"/>
          <w:lang w:val="en-US"/>
        </w:rPr>
      </w:pPr>
      <w:r w:rsidRPr="00480518">
        <w:t xml:space="preserve">This report deals with the use of financial resources which is key to delivering the </w:t>
      </w:r>
      <w:r w:rsidR="00D372BF" w:rsidRPr="00D372BF">
        <w:rPr>
          <w:rFonts w:cs="Arial"/>
          <w:szCs w:val="24"/>
          <w:lang w:val="en-US"/>
        </w:rPr>
        <w:t xml:space="preserve">priorities of the Harrow Ambition Plan: </w:t>
      </w:r>
    </w:p>
    <w:p w:rsidR="00D372BF" w:rsidRPr="00D372BF" w:rsidRDefault="00D372BF" w:rsidP="00D372BF">
      <w:pPr>
        <w:ind w:left="567"/>
        <w:jc w:val="both"/>
      </w:pPr>
    </w:p>
    <w:p w:rsidR="00D372BF" w:rsidRPr="00D372BF" w:rsidRDefault="00D372BF" w:rsidP="00D372BF">
      <w:pPr>
        <w:numPr>
          <w:ilvl w:val="0"/>
          <w:numId w:val="32"/>
        </w:numPr>
        <w:tabs>
          <w:tab w:val="num" w:pos="2268"/>
        </w:tabs>
        <w:jc w:val="both"/>
      </w:pPr>
      <w:r>
        <w:rPr>
          <w:rFonts w:cs="Arial"/>
          <w:szCs w:val="24"/>
          <w:lang w:val="en-US"/>
        </w:rPr>
        <w:t>Build a Better Harrow</w:t>
      </w:r>
      <w:r w:rsidRPr="00D372BF">
        <w:rPr>
          <w:rFonts w:cs="Arial"/>
          <w:szCs w:val="24"/>
          <w:lang w:val="en-US"/>
        </w:rPr>
        <w:t xml:space="preserve"> </w:t>
      </w:r>
    </w:p>
    <w:p w:rsidR="00D372BF" w:rsidRPr="00D372BF" w:rsidRDefault="00D372BF" w:rsidP="00D372BF">
      <w:pPr>
        <w:numPr>
          <w:ilvl w:val="0"/>
          <w:numId w:val="32"/>
        </w:numPr>
        <w:tabs>
          <w:tab w:val="num" w:pos="2268"/>
        </w:tabs>
        <w:jc w:val="both"/>
      </w:pPr>
      <w:r w:rsidRPr="00D372BF">
        <w:rPr>
          <w:rFonts w:cs="Arial"/>
          <w:szCs w:val="24"/>
          <w:lang w:val="en-US"/>
        </w:rPr>
        <w:t xml:space="preserve">Be More Business-Like and Business Friendly </w:t>
      </w:r>
    </w:p>
    <w:p w:rsidR="00D372BF" w:rsidRPr="00480518" w:rsidRDefault="00D372BF" w:rsidP="00D372BF">
      <w:pPr>
        <w:numPr>
          <w:ilvl w:val="0"/>
          <w:numId w:val="32"/>
        </w:numPr>
        <w:tabs>
          <w:tab w:val="num" w:pos="2268"/>
        </w:tabs>
        <w:jc w:val="both"/>
      </w:pPr>
      <w:r w:rsidRPr="00D372BF">
        <w:rPr>
          <w:rFonts w:cs="Arial"/>
          <w:szCs w:val="24"/>
          <w:lang w:val="en-US"/>
        </w:rPr>
        <w:t xml:space="preserve">Protecting the </w:t>
      </w:r>
      <w:r w:rsidR="00E23647">
        <w:rPr>
          <w:rFonts w:cs="Arial"/>
          <w:szCs w:val="24"/>
          <w:lang w:val="en-US"/>
        </w:rPr>
        <w:t xml:space="preserve">most </w:t>
      </w:r>
      <w:r w:rsidRPr="00D372BF">
        <w:rPr>
          <w:rFonts w:cs="Arial"/>
          <w:szCs w:val="24"/>
          <w:lang w:val="en-US"/>
        </w:rPr>
        <w:t>Vulnerable and Support Families.</w:t>
      </w:r>
    </w:p>
    <w:p w:rsidR="00CA62F1" w:rsidRDefault="00CA62F1" w:rsidP="00333FAA">
      <w:pPr>
        <w:pStyle w:val="Heading1"/>
        <w:keepNext/>
        <w:rPr>
          <w:sz w:val="28"/>
          <w:szCs w:val="28"/>
        </w:rPr>
      </w:pPr>
    </w:p>
    <w:p w:rsidR="00333FAA" w:rsidRPr="00B14937" w:rsidRDefault="00333FAA" w:rsidP="00333FAA">
      <w:pPr>
        <w:pStyle w:val="Heading1"/>
        <w:keepNext/>
        <w:rPr>
          <w:sz w:val="28"/>
          <w:szCs w:val="28"/>
        </w:rPr>
      </w:pPr>
      <w:r w:rsidRPr="00B14937">
        <w:rPr>
          <w:sz w:val="28"/>
          <w:szCs w:val="28"/>
        </w:rPr>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gridCol w:w="382"/>
        <w:gridCol w:w="235"/>
        <w:gridCol w:w="3624"/>
      </w:tblGrid>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r w:rsidR="00333FAA" w:rsidRPr="00D47AA9">
        <w:tc>
          <w:tcPr>
            <w:tcW w:w="4752" w:type="dxa"/>
            <w:tcBorders>
              <w:top w:val="nil"/>
              <w:bottom w:val="nil"/>
            </w:tcBorders>
          </w:tcPr>
          <w:p w:rsidR="00333FAA" w:rsidRPr="00D47AA9" w:rsidRDefault="00333FAA" w:rsidP="00566EB8">
            <w:pPr>
              <w:pStyle w:val="Infotext"/>
              <w:rPr>
                <w:sz w:val="24"/>
                <w:szCs w:val="24"/>
              </w:rPr>
            </w:pPr>
            <w:r w:rsidRPr="00D47AA9">
              <w:rPr>
                <w:sz w:val="24"/>
                <w:szCs w:val="24"/>
              </w:rPr>
              <w:t>Name:</w:t>
            </w:r>
            <w:r w:rsidR="00DB6C3D" w:rsidRPr="00D47AA9">
              <w:rPr>
                <w:sz w:val="24"/>
                <w:szCs w:val="24"/>
              </w:rPr>
              <w:t xml:space="preserve"> </w:t>
            </w:r>
            <w:r w:rsidR="00566EB8" w:rsidRPr="00D47AA9">
              <w:rPr>
                <w:sz w:val="24"/>
                <w:szCs w:val="24"/>
              </w:rPr>
              <w:t>Dawn Calvert</w:t>
            </w:r>
            <w:r w:rsidRPr="00D47AA9">
              <w:rPr>
                <w:sz w:val="24"/>
                <w:szCs w:val="24"/>
              </w:rPr>
              <w:t>…</w:t>
            </w:r>
          </w:p>
        </w:tc>
        <w:tc>
          <w:tcPr>
            <w:tcW w:w="387" w:type="dxa"/>
            <w:tcBorders>
              <w:bottom w:val="single" w:sz="4" w:space="0" w:color="auto"/>
            </w:tcBorders>
          </w:tcPr>
          <w:p w:rsidR="00333FAA" w:rsidRPr="00D47AA9" w:rsidRDefault="003744D9" w:rsidP="00A53B04">
            <w:pPr>
              <w:pStyle w:val="Infotext"/>
              <w:rPr>
                <w:sz w:val="24"/>
                <w:szCs w:val="24"/>
              </w:rPr>
            </w:pPr>
            <w:r>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Chief Financial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r w:rsidRPr="00D47AA9">
              <w:rPr>
                <w:sz w:val="24"/>
                <w:szCs w:val="24"/>
              </w:rPr>
              <w:t xml:space="preserve"> </w:t>
            </w:r>
          </w:p>
          <w:p w:rsidR="00333FAA" w:rsidRPr="00D47AA9" w:rsidRDefault="00333FAA" w:rsidP="00E45B3B">
            <w:pPr>
              <w:pStyle w:val="Infotext"/>
              <w:rPr>
                <w:sz w:val="24"/>
                <w:szCs w:val="24"/>
              </w:rPr>
            </w:pPr>
            <w:r w:rsidRPr="00D47AA9">
              <w:rPr>
                <w:sz w:val="24"/>
                <w:szCs w:val="24"/>
              </w:rPr>
              <w:t xml:space="preserve">Date: </w:t>
            </w:r>
            <w:r w:rsidR="00566F24">
              <w:rPr>
                <w:sz w:val="24"/>
                <w:szCs w:val="24"/>
              </w:rPr>
              <w:t xml:space="preserve"> </w:t>
            </w:r>
            <w:r w:rsidR="003744D9">
              <w:rPr>
                <w:sz w:val="24"/>
                <w:szCs w:val="24"/>
              </w:rPr>
              <w:t>27/11/18</w:t>
            </w:r>
          </w:p>
        </w:tc>
        <w:tc>
          <w:tcPr>
            <w:tcW w:w="387" w:type="dxa"/>
            <w:tcBorders>
              <w:left w:val="nil"/>
              <w:bottom w:val="single" w:sz="4" w:space="0" w:color="auto"/>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tc>
      </w:tr>
      <w:tr w:rsidR="00333FAA" w:rsidRPr="00D47AA9">
        <w:tc>
          <w:tcPr>
            <w:tcW w:w="4752" w:type="dxa"/>
            <w:tcBorders>
              <w:bottom w:val="nil"/>
              <w:right w:val="nil"/>
            </w:tcBorders>
          </w:tcPr>
          <w:p w:rsidR="00333FAA" w:rsidRPr="00D47AA9" w:rsidRDefault="00333FAA" w:rsidP="00A53B04">
            <w:pPr>
              <w:pStyle w:val="Infotext"/>
              <w:rPr>
                <w:sz w:val="24"/>
                <w:szCs w:val="24"/>
              </w:rPr>
            </w:pP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left w:val="nil"/>
              <w:bottom w:val="nil"/>
              <w:right w:val="nil"/>
            </w:tcBorders>
          </w:tcPr>
          <w:p w:rsidR="00333FAA" w:rsidRPr="00D47AA9" w:rsidRDefault="00333FAA" w:rsidP="00A53B04">
            <w:pPr>
              <w:pStyle w:val="Infotext"/>
              <w:rPr>
                <w:sz w:val="24"/>
                <w:szCs w:val="24"/>
              </w:rPr>
            </w:pPr>
          </w:p>
        </w:tc>
        <w:tc>
          <w:tcPr>
            <w:tcW w:w="3890" w:type="dxa"/>
            <w:tcBorders>
              <w:left w:val="nil"/>
              <w:bottom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r w:rsidRPr="00D47AA9">
              <w:rPr>
                <w:sz w:val="24"/>
                <w:szCs w:val="24"/>
              </w:rPr>
              <w:t>on behalf of the</w:t>
            </w:r>
            <w:r w:rsidR="001966D7" w:rsidRPr="00D47AA9">
              <w:rPr>
                <w:sz w:val="24"/>
                <w:szCs w:val="24"/>
              </w:rPr>
              <w:t xml:space="preserve"> *</w:t>
            </w:r>
          </w:p>
        </w:tc>
      </w:tr>
      <w:tr w:rsidR="00333FAA" w:rsidRPr="00D47AA9">
        <w:tc>
          <w:tcPr>
            <w:tcW w:w="4752" w:type="dxa"/>
            <w:tcBorders>
              <w:top w:val="nil"/>
              <w:bottom w:val="nil"/>
            </w:tcBorders>
          </w:tcPr>
          <w:p w:rsidR="00333FAA" w:rsidRPr="00D47AA9" w:rsidRDefault="00333FAA" w:rsidP="0058224A">
            <w:pPr>
              <w:pStyle w:val="Infotext"/>
              <w:rPr>
                <w:sz w:val="24"/>
                <w:szCs w:val="24"/>
              </w:rPr>
            </w:pPr>
            <w:r w:rsidRPr="00D47AA9">
              <w:rPr>
                <w:sz w:val="24"/>
                <w:szCs w:val="24"/>
              </w:rPr>
              <w:t xml:space="preserve">Name: </w:t>
            </w:r>
            <w:r w:rsidR="003744D9">
              <w:rPr>
                <w:sz w:val="24"/>
                <w:szCs w:val="24"/>
              </w:rPr>
              <w:t xml:space="preserve">David Hodge </w:t>
            </w:r>
          </w:p>
        </w:tc>
        <w:tc>
          <w:tcPr>
            <w:tcW w:w="387" w:type="dxa"/>
            <w:tcBorders>
              <w:bottom w:val="single" w:sz="4" w:space="0" w:color="auto"/>
            </w:tcBorders>
          </w:tcPr>
          <w:p w:rsidR="00333FAA" w:rsidRPr="00D47AA9" w:rsidRDefault="003744D9" w:rsidP="00A53B04">
            <w:pPr>
              <w:pStyle w:val="Infotext"/>
              <w:rPr>
                <w:sz w:val="24"/>
                <w:szCs w:val="24"/>
              </w:rPr>
            </w:pPr>
            <w:r>
              <w:rPr>
                <w:sz w:val="24"/>
                <w:szCs w:val="24"/>
              </w:rPr>
              <w:t>x</w:t>
            </w:r>
          </w:p>
        </w:tc>
        <w:tc>
          <w:tcPr>
            <w:tcW w:w="236" w:type="dxa"/>
            <w:tcBorders>
              <w:top w:val="nil"/>
              <w:bottom w:val="nil"/>
              <w:right w:val="nil"/>
            </w:tcBorders>
          </w:tcPr>
          <w:p w:rsidR="00333FAA" w:rsidRPr="00D47AA9" w:rsidRDefault="00333FAA" w:rsidP="00A53B04">
            <w:pPr>
              <w:pStyle w:val="Infotext"/>
              <w:rPr>
                <w:sz w:val="24"/>
                <w:szCs w:val="24"/>
              </w:rPr>
            </w:pPr>
          </w:p>
        </w:tc>
        <w:tc>
          <w:tcPr>
            <w:tcW w:w="3890" w:type="dxa"/>
            <w:tcBorders>
              <w:top w:val="nil"/>
              <w:left w:val="nil"/>
              <w:bottom w:val="nil"/>
            </w:tcBorders>
          </w:tcPr>
          <w:p w:rsidR="00333FAA" w:rsidRPr="00D47AA9" w:rsidRDefault="00333FAA" w:rsidP="00A53B04">
            <w:pPr>
              <w:pStyle w:val="Infotext"/>
              <w:rPr>
                <w:sz w:val="24"/>
                <w:szCs w:val="24"/>
              </w:rPr>
            </w:pPr>
            <w:r w:rsidRPr="00D47AA9">
              <w:rPr>
                <w:sz w:val="24"/>
                <w:szCs w:val="24"/>
              </w:rPr>
              <w:t>Monitoring Officer</w:t>
            </w:r>
          </w:p>
        </w:tc>
      </w:tr>
      <w:tr w:rsidR="00333FAA" w:rsidRPr="00D47AA9">
        <w:tc>
          <w:tcPr>
            <w:tcW w:w="4752" w:type="dxa"/>
            <w:tcBorders>
              <w:top w:val="nil"/>
              <w:right w:val="nil"/>
            </w:tcBorders>
          </w:tcPr>
          <w:p w:rsidR="00333FAA" w:rsidRPr="00D47AA9" w:rsidRDefault="00333FAA" w:rsidP="00A53B04">
            <w:pPr>
              <w:pStyle w:val="Infotext"/>
              <w:rPr>
                <w:sz w:val="24"/>
                <w:szCs w:val="24"/>
              </w:rPr>
            </w:pPr>
          </w:p>
          <w:p w:rsidR="00333FAA" w:rsidRPr="00D47AA9" w:rsidRDefault="00333FAA" w:rsidP="00E45B3B">
            <w:pPr>
              <w:pStyle w:val="Infotext"/>
              <w:rPr>
                <w:sz w:val="24"/>
                <w:szCs w:val="24"/>
              </w:rPr>
            </w:pPr>
            <w:r w:rsidRPr="00D47AA9">
              <w:rPr>
                <w:sz w:val="24"/>
                <w:szCs w:val="24"/>
              </w:rPr>
              <w:t xml:space="preserve">Date: </w:t>
            </w:r>
            <w:r w:rsidR="003744D9">
              <w:rPr>
                <w:sz w:val="24"/>
                <w:szCs w:val="24"/>
              </w:rPr>
              <w:t>13/11/18</w:t>
            </w:r>
          </w:p>
        </w:tc>
        <w:tc>
          <w:tcPr>
            <w:tcW w:w="387" w:type="dxa"/>
            <w:tcBorders>
              <w:left w:val="nil"/>
              <w:right w:val="nil"/>
            </w:tcBorders>
          </w:tcPr>
          <w:p w:rsidR="00333FAA" w:rsidRPr="00D47AA9" w:rsidRDefault="00333FAA" w:rsidP="00A53B04">
            <w:pPr>
              <w:pStyle w:val="Infotext"/>
              <w:rPr>
                <w:sz w:val="24"/>
                <w:szCs w:val="24"/>
              </w:rPr>
            </w:pPr>
          </w:p>
        </w:tc>
        <w:tc>
          <w:tcPr>
            <w:tcW w:w="236" w:type="dxa"/>
            <w:tcBorders>
              <w:top w:val="nil"/>
              <w:left w:val="nil"/>
              <w:right w:val="nil"/>
            </w:tcBorders>
          </w:tcPr>
          <w:p w:rsidR="00333FAA" w:rsidRPr="00D47AA9" w:rsidRDefault="00333FAA" w:rsidP="00A53B04">
            <w:pPr>
              <w:pStyle w:val="Infotext"/>
              <w:rPr>
                <w:sz w:val="24"/>
                <w:szCs w:val="24"/>
              </w:rPr>
            </w:pPr>
          </w:p>
        </w:tc>
        <w:tc>
          <w:tcPr>
            <w:tcW w:w="3890" w:type="dxa"/>
            <w:tcBorders>
              <w:top w:val="nil"/>
              <w:left w:val="nil"/>
            </w:tcBorders>
          </w:tcPr>
          <w:p w:rsidR="00333FAA" w:rsidRPr="00D47AA9" w:rsidRDefault="00333FAA" w:rsidP="00A53B04">
            <w:pPr>
              <w:pStyle w:val="Infotext"/>
              <w:rPr>
                <w:sz w:val="24"/>
                <w:szCs w:val="24"/>
              </w:rPr>
            </w:pPr>
          </w:p>
          <w:p w:rsidR="00333FAA" w:rsidRPr="00D47AA9" w:rsidRDefault="00333FAA" w:rsidP="00A53B04">
            <w:pPr>
              <w:pStyle w:val="Infotext"/>
              <w:rPr>
                <w:sz w:val="24"/>
                <w:szCs w:val="24"/>
              </w:rPr>
            </w:pPr>
          </w:p>
        </w:tc>
      </w:tr>
    </w:tbl>
    <w:p w:rsidR="00333FAA" w:rsidRDefault="00333FAA" w:rsidP="00333FAA"/>
    <w:p w:rsidR="00CA62F1" w:rsidRPr="00A26B10" w:rsidRDefault="00CA62F1" w:rsidP="00CA62F1">
      <w:pPr>
        <w:pStyle w:val="Heading1"/>
        <w:keepNext/>
        <w:rPr>
          <w:sz w:val="28"/>
          <w:szCs w:val="28"/>
        </w:rPr>
      </w:pPr>
      <w:r w:rsidRPr="00A26B10">
        <w:rPr>
          <w:sz w:val="28"/>
          <w:szCs w:val="28"/>
        </w:rPr>
        <w:t>Section 3 – Procurement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3"/>
        <w:gridCol w:w="371"/>
        <w:gridCol w:w="238"/>
        <w:gridCol w:w="3672"/>
      </w:tblGrid>
      <w:tr w:rsidR="00CA62F1" w:rsidTr="001F609B">
        <w:tc>
          <w:tcPr>
            <w:tcW w:w="4271" w:type="dxa"/>
            <w:tcBorders>
              <w:bottom w:val="nil"/>
              <w:right w:val="nil"/>
            </w:tcBorders>
          </w:tcPr>
          <w:p w:rsidR="00CA62F1" w:rsidRPr="00A26B10" w:rsidRDefault="00CA62F1" w:rsidP="001F609B">
            <w:pPr>
              <w:pStyle w:val="Infotext"/>
              <w:rPr>
                <w:sz w:val="24"/>
                <w:szCs w:val="24"/>
              </w:rPr>
            </w:pPr>
          </w:p>
        </w:tc>
        <w:tc>
          <w:tcPr>
            <w:tcW w:w="365" w:type="dxa"/>
            <w:tcBorders>
              <w:left w:val="nil"/>
              <w:right w:val="nil"/>
            </w:tcBorders>
          </w:tcPr>
          <w:p w:rsidR="00CA62F1" w:rsidRPr="00A26B10" w:rsidRDefault="00CA62F1" w:rsidP="001F609B">
            <w:pPr>
              <w:pStyle w:val="Infotext"/>
              <w:rPr>
                <w:sz w:val="24"/>
                <w:szCs w:val="24"/>
              </w:rPr>
            </w:pPr>
          </w:p>
        </w:tc>
        <w:tc>
          <w:tcPr>
            <w:tcW w:w="234" w:type="dxa"/>
            <w:tcBorders>
              <w:left w:val="nil"/>
              <w:bottom w:val="nil"/>
              <w:right w:val="nil"/>
            </w:tcBorders>
          </w:tcPr>
          <w:p w:rsidR="00CA62F1" w:rsidRPr="00A26B10" w:rsidRDefault="00CA62F1" w:rsidP="001F609B">
            <w:pPr>
              <w:pStyle w:val="Infotext"/>
              <w:rPr>
                <w:sz w:val="24"/>
                <w:szCs w:val="24"/>
              </w:rPr>
            </w:pPr>
          </w:p>
        </w:tc>
        <w:tc>
          <w:tcPr>
            <w:tcW w:w="3612" w:type="dxa"/>
            <w:tcBorders>
              <w:left w:val="nil"/>
              <w:bottom w:val="nil"/>
            </w:tcBorders>
          </w:tcPr>
          <w:p w:rsidR="00CA62F1" w:rsidRPr="00A26B10" w:rsidRDefault="00CA62F1" w:rsidP="001F609B">
            <w:pPr>
              <w:pStyle w:val="Infotext"/>
              <w:rPr>
                <w:sz w:val="24"/>
                <w:szCs w:val="24"/>
              </w:rPr>
            </w:pPr>
          </w:p>
          <w:p w:rsidR="00CA62F1" w:rsidRPr="00A26B10" w:rsidRDefault="00CA62F1" w:rsidP="001F609B">
            <w:pPr>
              <w:pStyle w:val="Infotext"/>
              <w:rPr>
                <w:sz w:val="24"/>
                <w:szCs w:val="24"/>
              </w:rPr>
            </w:pPr>
            <w:r w:rsidRPr="00A26B10">
              <w:rPr>
                <w:sz w:val="24"/>
                <w:szCs w:val="24"/>
              </w:rPr>
              <w:t>on behalf of the *</w:t>
            </w:r>
          </w:p>
        </w:tc>
      </w:tr>
      <w:tr w:rsidR="00CA62F1" w:rsidTr="001F609B">
        <w:tc>
          <w:tcPr>
            <w:tcW w:w="4271" w:type="dxa"/>
            <w:tcBorders>
              <w:top w:val="nil"/>
              <w:bottom w:val="nil"/>
            </w:tcBorders>
          </w:tcPr>
          <w:p w:rsidR="00CA62F1" w:rsidRPr="00A26B10" w:rsidRDefault="00CA62F1" w:rsidP="001F609B">
            <w:pPr>
              <w:pStyle w:val="Infotext"/>
              <w:rPr>
                <w:sz w:val="24"/>
                <w:szCs w:val="24"/>
              </w:rPr>
            </w:pPr>
            <w:r w:rsidRPr="00A26B10">
              <w:rPr>
                <w:sz w:val="24"/>
                <w:szCs w:val="24"/>
              </w:rPr>
              <w:t xml:space="preserve">Name: Nimesh Mehta </w:t>
            </w:r>
          </w:p>
        </w:tc>
        <w:tc>
          <w:tcPr>
            <w:tcW w:w="365" w:type="dxa"/>
            <w:tcBorders>
              <w:bottom w:val="single" w:sz="4" w:space="0" w:color="auto"/>
            </w:tcBorders>
          </w:tcPr>
          <w:p w:rsidR="00CA62F1" w:rsidRPr="00A26B10" w:rsidRDefault="00CA62F1" w:rsidP="001F609B">
            <w:pPr>
              <w:pStyle w:val="Infotext"/>
              <w:rPr>
                <w:sz w:val="24"/>
                <w:szCs w:val="24"/>
              </w:rPr>
            </w:pPr>
          </w:p>
          <w:p w:rsidR="00CA62F1" w:rsidRPr="00A26B10" w:rsidRDefault="003744D9" w:rsidP="001F609B">
            <w:pPr>
              <w:pStyle w:val="Infotext"/>
              <w:rPr>
                <w:sz w:val="24"/>
                <w:szCs w:val="24"/>
              </w:rPr>
            </w:pPr>
            <w:r>
              <w:rPr>
                <w:sz w:val="24"/>
                <w:szCs w:val="24"/>
              </w:rPr>
              <w:t>x</w:t>
            </w:r>
          </w:p>
        </w:tc>
        <w:tc>
          <w:tcPr>
            <w:tcW w:w="234" w:type="dxa"/>
            <w:tcBorders>
              <w:top w:val="nil"/>
              <w:bottom w:val="nil"/>
              <w:right w:val="nil"/>
            </w:tcBorders>
          </w:tcPr>
          <w:p w:rsidR="00CA62F1" w:rsidRPr="00A26B10" w:rsidRDefault="00CA62F1" w:rsidP="001F609B">
            <w:pPr>
              <w:pStyle w:val="Infotext"/>
              <w:rPr>
                <w:sz w:val="24"/>
                <w:szCs w:val="24"/>
              </w:rPr>
            </w:pPr>
          </w:p>
        </w:tc>
        <w:tc>
          <w:tcPr>
            <w:tcW w:w="3612" w:type="dxa"/>
            <w:tcBorders>
              <w:top w:val="nil"/>
              <w:left w:val="nil"/>
              <w:bottom w:val="nil"/>
            </w:tcBorders>
          </w:tcPr>
          <w:p w:rsidR="00CA62F1" w:rsidRPr="00A26B10" w:rsidRDefault="00CA62F1" w:rsidP="001F609B">
            <w:pPr>
              <w:pStyle w:val="Infotext"/>
              <w:rPr>
                <w:sz w:val="24"/>
                <w:szCs w:val="24"/>
              </w:rPr>
            </w:pPr>
            <w:r w:rsidRPr="00A26B10">
              <w:rPr>
                <w:sz w:val="24"/>
                <w:szCs w:val="24"/>
              </w:rPr>
              <w:t>Head of Procurement Officer</w:t>
            </w:r>
          </w:p>
        </w:tc>
      </w:tr>
      <w:tr w:rsidR="00CA62F1" w:rsidTr="001F609B">
        <w:tc>
          <w:tcPr>
            <w:tcW w:w="4271" w:type="dxa"/>
            <w:tcBorders>
              <w:top w:val="nil"/>
              <w:right w:val="nil"/>
            </w:tcBorders>
          </w:tcPr>
          <w:p w:rsidR="00CA62F1" w:rsidRPr="00A26B10" w:rsidRDefault="00CA62F1" w:rsidP="001F609B">
            <w:pPr>
              <w:pStyle w:val="Infotext"/>
              <w:rPr>
                <w:sz w:val="24"/>
                <w:szCs w:val="24"/>
              </w:rPr>
            </w:pPr>
            <w:r w:rsidRPr="00A26B10">
              <w:rPr>
                <w:sz w:val="24"/>
                <w:szCs w:val="24"/>
              </w:rPr>
              <w:t xml:space="preserve"> </w:t>
            </w:r>
          </w:p>
          <w:p w:rsidR="00CA62F1" w:rsidRPr="00A26B10" w:rsidRDefault="00CA62F1" w:rsidP="001F609B">
            <w:pPr>
              <w:pStyle w:val="Infotext"/>
              <w:rPr>
                <w:sz w:val="24"/>
                <w:szCs w:val="24"/>
              </w:rPr>
            </w:pPr>
            <w:r w:rsidRPr="00A26B10">
              <w:rPr>
                <w:sz w:val="24"/>
                <w:szCs w:val="24"/>
              </w:rPr>
              <w:t xml:space="preserve">Date:  </w:t>
            </w:r>
            <w:r w:rsidR="003744D9">
              <w:rPr>
                <w:sz w:val="24"/>
                <w:szCs w:val="24"/>
              </w:rPr>
              <w:t>27/11/18</w:t>
            </w:r>
          </w:p>
        </w:tc>
        <w:tc>
          <w:tcPr>
            <w:tcW w:w="365" w:type="dxa"/>
            <w:tcBorders>
              <w:left w:val="nil"/>
              <w:bottom w:val="single" w:sz="4" w:space="0" w:color="auto"/>
              <w:right w:val="nil"/>
            </w:tcBorders>
          </w:tcPr>
          <w:p w:rsidR="00CA62F1" w:rsidRPr="00A26B10" w:rsidRDefault="00CA62F1" w:rsidP="001F609B">
            <w:pPr>
              <w:pStyle w:val="Infotext"/>
              <w:rPr>
                <w:sz w:val="24"/>
                <w:szCs w:val="24"/>
              </w:rPr>
            </w:pPr>
          </w:p>
        </w:tc>
        <w:tc>
          <w:tcPr>
            <w:tcW w:w="234" w:type="dxa"/>
            <w:tcBorders>
              <w:top w:val="nil"/>
              <w:left w:val="nil"/>
              <w:right w:val="nil"/>
            </w:tcBorders>
          </w:tcPr>
          <w:p w:rsidR="00CA62F1" w:rsidRPr="00A26B10" w:rsidRDefault="00CA62F1" w:rsidP="001F609B">
            <w:pPr>
              <w:pStyle w:val="Infotext"/>
              <w:rPr>
                <w:sz w:val="24"/>
                <w:szCs w:val="24"/>
              </w:rPr>
            </w:pPr>
          </w:p>
        </w:tc>
        <w:tc>
          <w:tcPr>
            <w:tcW w:w="3612" w:type="dxa"/>
            <w:tcBorders>
              <w:top w:val="nil"/>
              <w:left w:val="nil"/>
            </w:tcBorders>
          </w:tcPr>
          <w:p w:rsidR="00CA62F1" w:rsidRPr="00A26B10" w:rsidRDefault="00CA62F1" w:rsidP="001F609B">
            <w:pPr>
              <w:pStyle w:val="Infotext"/>
              <w:rPr>
                <w:sz w:val="24"/>
                <w:szCs w:val="24"/>
              </w:rPr>
            </w:pPr>
          </w:p>
        </w:tc>
      </w:tr>
    </w:tbl>
    <w:p w:rsidR="00CA62F1" w:rsidRDefault="00CA62F1" w:rsidP="00333FAA"/>
    <w:p w:rsidR="00CA62F1" w:rsidRDefault="00CA62F1"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3406"/>
      </w:tblGrid>
      <w:tr w:rsidR="00333FAA">
        <w:trPr>
          <w:trHeight w:val="965"/>
        </w:trPr>
        <w:tc>
          <w:tcPr>
            <w:tcW w:w="3025" w:type="pct"/>
            <w:tcBorders>
              <w:right w:val="nil"/>
            </w:tcBorders>
          </w:tcPr>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sz w:val="24"/>
                <w:szCs w:val="24"/>
              </w:rPr>
            </w:pPr>
            <w:r w:rsidRPr="00D47AA9">
              <w:rPr>
                <w:rFonts w:ascii="Arial Black" w:hAnsi="Arial Black"/>
                <w:sz w:val="24"/>
                <w:szCs w:val="24"/>
              </w:rPr>
              <w:t>Ward Councillors notified:</w:t>
            </w:r>
          </w:p>
          <w:p w:rsidR="00333FAA" w:rsidRPr="00D47AA9" w:rsidRDefault="00333FAA" w:rsidP="00A53B04">
            <w:pPr>
              <w:pStyle w:val="Infotext"/>
              <w:rPr>
                <w:color w:val="FF0000"/>
                <w:sz w:val="24"/>
                <w:szCs w:val="24"/>
              </w:rPr>
            </w:pPr>
          </w:p>
        </w:tc>
        <w:tc>
          <w:tcPr>
            <w:tcW w:w="1975" w:type="pct"/>
            <w:tcBorders>
              <w:left w:val="nil"/>
            </w:tcBorders>
          </w:tcPr>
          <w:p w:rsidR="00333FAA" w:rsidRPr="00D47AA9" w:rsidRDefault="00333FAA" w:rsidP="00A53B04">
            <w:pPr>
              <w:pStyle w:val="Infotext"/>
              <w:rPr>
                <w:sz w:val="24"/>
                <w:szCs w:val="24"/>
              </w:rPr>
            </w:pPr>
          </w:p>
          <w:p w:rsidR="00333FAA" w:rsidRPr="00D47AA9" w:rsidRDefault="00333FAA" w:rsidP="00D47AA9">
            <w:pPr>
              <w:pStyle w:val="Infotext"/>
              <w:spacing w:before="120"/>
              <w:rPr>
                <w:i/>
                <w:sz w:val="24"/>
                <w:szCs w:val="24"/>
              </w:rPr>
            </w:pPr>
            <w:r w:rsidRPr="00D47AA9">
              <w:rPr>
                <w:b/>
                <w:sz w:val="24"/>
                <w:szCs w:val="24"/>
              </w:rPr>
              <w:t xml:space="preserve">NO, as it impacts on all Wards </w:t>
            </w:r>
          </w:p>
        </w:tc>
      </w:tr>
      <w:tr w:rsidR="00333FAA" w:rsidRPr="00303FD6">
        <w:trPr>
          <w:trHeight w:val="965"/>
        </w:trPr>
        <w:tc>
          <w:tcPr>
            <w:tcW w:w="3025" w:type="pct"/>
            <w:tcBorders>
              <w:right w:val="nil"/>
            </w:tcBorders>
          </w:tcPr>
          <w:p w:rsidR="00333FAA" w:rsidRPr="00D47AA9" w:rsidRDefault="00333FAA" w:rsidP="00A53B04">
            <w:pPr>
              <w:pStyle w:val="Infotext"/>
              <w:rPr>
                <w:rFonts w:ascii="Arial Black" w:hAnsi="Arial Black"/>
                <w:sz w:val="24"/>
                <w:szCs w:val="24"/>
              </w:rPr>
            </w:pPr>
            <w:proofErr w:type="spellStart"/>
            <w:r w:rsidRPr="00D47AA9">
              <w:rPr>
                <w:rFonts w:ascii="Arial Black" w:hAnsi="Arial Black"/>
                <w:sz w:val="24"/>
                <w:szCs w:val="24"/>
              </w:rPr>
              <w:t>EqIA</w:t>
            </w:r>
            <w:proofErr w:type="spellEnd"/>
            <w:r w:rsidRPr="00D47AA9">
              <w:rPr>
                <w:rFonts w:ascii="Arial Black" w:hAnsi="Arial Black"/>
                <w:sz w:val="24"/>
                <w:szCs w:val="24"/>
              </w:rPr>
              <w:t xml:space="preserve"> carried out:</w:t>
            </w:r>
          </w:p>
          <w:p w:rsidR="00333FAA" w:rsidRPr="00D47AA9" w:rsidRDefault="00333FAA" w:rsidP="00A53B04">
            <w:pPr>
              <w:pStyle w:val="Infotext"/>
              <w:rPr>
                <w:rFonts w:ascii="Arial Black" w:hAnsi="Arial Black"/>
                <w:sz w:val="24"/>
                <w:szCs w:val="24"/>
              </w:rPr>
            </w:pPr>
          </w:p>
          <w:p w:rsidR="00333FAA" w:rsidRPr="00D47AA9" w:rsidRDefault="00333FAA" w:rsidP="00A53B04">
            <w:pPr>
              <w:pStyle w:val="Infotext"/>
              <w:rPr>
                <w:rFonts w:ascii="Arial Black" w:hAnsi="Arial Black"/>
                <w:color w:val="FF0000"/>
                <w:sz w:val="24"/>
                <w:szCs w:val="24"/>
              </w:rPr>
            </w:pPr>
            <w:proofErr w:type="spellStart"/>
            <w:r w:rsidRPr="00D47AA9">
              <w:rPr>
                <w:rFonts w:ascii="Arial Black" w:hAnsi="Arial Black"/>
                <w:sz w:val="24"/>
                <w:szCs w:val="24"/>
              </w:rPr>
              <w:t>EqIA</w:t>
            </w:r>
            <w:proofErr w:type="spellEnd"/>
            <w:r w:rsidRPr="00D47AA9">
              <w:rPr>
                <w:rFonts w:ascii="Arial Black" w:hAnsi="Arial Black"/>
                <w:sz w:val="24"/>
                <w:szCs w:val="24"/>
              </w:rPr>
              <w:t xml:space="preserve"> cleared by:</w:t>
            </w:r>
          </w:p>
        </w:tc>
        <w:tc>
          <w:tcPr>
            <w:tcW w:w="1975" w:type="pct"/>
            <w:tcBorders>
              <w:left w:val="nil"/>
            </w:tcBorders>
          </w:tcPr>
          <w:p w:rsidR="00333FAA" w:rsidRPr="00D47AA9" w:rsidRDefault="00202D79" w:rsidP="00A53B04">
            <w:pPr>
              <w:pStyle w:val="Infotext"/>
              <w:rPr>
                <w:b/>
                <w:sz w:val="24"/>
                <w:szCs w:val="24"/>
              </w:rPr>
            </w:pPr>
            <w:r w:rsidRPr="00D47AA9">
              <w:rPr>
                <w:b/>
                <w:sz w:val="24"/>
                <w:szCs w:val="24"/>
              </w:rPr>
              <w:t xml:space="preserve"> </w:t>
            </w:r>
            <w:r w:rsidR="00480518" w:rsidRPr="00D47AA9">
              <w:rPr>
                <w:b/>
                <w:sz w:val="24"/>
                <w:szCs w:val="24"/>
              </w:rPr>
              <w:t>NO</w:t>
            </w:r>
          </w:p>
          <w:p w:rsidR="00480518" w:rsidRPr="00D47AA9" w:rsidRDefault="00480518" w:rsidP="00A53B04">
            <w:pPr>
              <w:pStyle w:val="Infotext"/>
              <w:rPr>
                <w:sz w:val="24"/>
                <w:szCs w:val="24"/>
              </w:rPr>
            </w:pPr>
          </w:p>
          <w:p w:rsidR="00333FAA" w:rsidRPr="00D47AA9" w:rsidRDefault="00480518" w:rsidP="00480518">
            <w:pPr>
              <w:pStyle w:val="Infotext"/>
              <w:rPr>
                <w:color w:val="FF0000"/>
                <w:sz w:val="24"/>
                <w:szCs w:val="24"/>
              </w:rPr>
            </w:pPr>
            <w:r w:rsidRPr="00D47AA9">
              <w:rPr>
                <w:sz w:val="24"/>
                <w:szCs w:val="24"/>
              </w:rPr>
              <w:t>Any projects with potential impacts will separately be required to do an impact assessment.</w:t>
            </w:r>
          </w:p>
        </w:tc>
      </w:tr>
    </w:tbl>
    <w:p w:rsidR="00333FAA" w:rsidRDefault="00333FAA" w:rsidP="00333FAA"/>
    <w:p w:rsidR="00333FAA" w:rsidRPr="00C64714" w:rsidRDefault="00333FAA" w:rsidP="00333FAA">
      <w:pPr>
        <w:pStyle w:val="Heading1"/>
        <w:keepNext/>
        <w:rPr>
          <w:sz w:val="24"/>
          <w:szCs w:val="24"/>
        </w:rPr>
      </w:pPr>
      <w:r w:rsidRPr="00C64714">
        <w:rPr>
          <w:sz w:val="24"/>
          <w:szCs w:val="24"/>
        </w:rPr>
        <w:t xml:space="preserve">Section </w:t>
      </w:r>
      <w:r w:rsidR="00A20113" w:rsidRPr="00C64714">
        <w:rPr>
          <w:sz w:val="24"/>
          <w:szCs w:val="24"/>
        </w:rPr>
        <w:t>4</w:t>
      </w:r>
      <w:r w:rsidRPr="00C64714">
        <w:rPr>
          <w:sz w:val="24"/>
          <w:szCs w:val="24"/>
        </w:rPr>
        <w:t xml:space="preserve"> - Contact Details and Background Papers</w:t>
      </w:r>
    </w:p>
    <w:p w:rsidR="00333FAA" w:rsidRDefault="00333FAA" w:rsidP="00333FAA">
      <w:pPr>
        <w:keepNext/>
        <w:rPr>
          <w:rFonts w:cs="Arial"/>
        </w:rPr>
      </w:pPr>
    </w:p>
    <w:p w:rsidR="00480518" w:rsidRPr="00D47AA9" w:rsidRDefault="00333FAA" w:rsidP="00333FAA">
      <w:pPr>
        <w:pStyle w:val="Infotext"/>
        <w:rPr>
          <w:sz w:val="24"/>
          <w:szCs w:val="24"/>
        </w:rPr>
      </w:pPr>
      <w:r w:rsidRPr="00D47AA9">
        <w:rPr>
          <w:b/>
          <w:sz w:val="24"/>
          <w:szCs w:val="24"/>
        </w:rPr>
        <w:t xml:space="preserve">Contact:  </w:t>
      </w:r>
      <w:r w:rsidR="00E23647" w:rsidRPr="00D47AA9">
        <w:rPr>
          <w:b/>
          <w:sz w:val="24"/>
          <w:szCs w:val="24"/>
        </w:rPr>
        <w:t>Sharon Daniels</w:t>
      </w:r>
      <w:r w:rsidR="00480518" w:rsidRPr="00D47AA9">
        <w:rPr>
          <w:sz w:val="24"/>
          <w:szCs w:val="24"/>
        </w:rPr>
        <w:t xml:space="preserve">, </w:t>
      </w:r>
      <w:r w:rsidR="00E23647" w:rsidRPr="00D47AA9">
        <w:rPr>
          <w:sz w:val="24"/>
          <w:szCs w:val="24"/>
        </w:rPr>
        <w:t>Head of Strategic and Technical Finance</w:t>
      </w:r>
      <w:r w:rsidR="00480518" w:rsidRPr="00D47AA9">
        <w:rPr>
          <w:sz w:val="24"/>
          <w:szCs w:val="24"/>
        </w:rPr>
        <w:t xml:space="preserve"> (</w:t>
      </w:r>
      <w:r w:rsidR="00E23647" w:rsidRPr="00D47AA9">
        <w:rPr>
          <w:sz w:val="24"/>
          <w:szCs w:val="24"/>
        </w:rPr>
        <w:t>Deputy S151)</w:t>
      </w:r>
      <w:r w:rsidR="00480518" w:rsidRPr="00D47AA9">
        <w:rPr>
          <w:sz w:val="24"/>
          <w:szCs w:val="24"/>
        </w:rPr>
        <w:t xml:space="preserve"> </w:t>
      </w:r>
    </w:p>
    <w:p w:rsidR="00480518" w:rsidRPr="00D47AA9" w:rsidRDefault="00480518" w:rsidP="00333FAA">
      <w:pPr>
        <w:pStyle w:val="Infotext"/>
        <w:rPr>
          <w:sz w:val="24"/>
          <w:szCs w:val="24"/>
        </w:rPr>
      </w:pPr>
      <w:r w:rsidRPr="00D47AA9">
        <w:rPr>
          <w:sz w:val="24"/>
          <w:szCs w:val="24"/>
        </w:rPr>
        <w:t xml:space="preserve">Email: </w:t>
      </w:r>
      <w:hyperlink r:id="rId15" w:history="1">
        <w:r w:rsidR="00E23647" w:rsidRPr="00D47AA9">
          <w:rPr>
            <w:rStyle w:val="Hyperlink"/>
            <w:sz w:val="24"/>
            <w:szCs w:val="24"/>
          </w:rPr>
          <w:t>sharon.daniels@harrow.gov.uk</w:t>
        </w:r>
      </w:hyperlink>
    </w:p>
    <w:p w:rsidR="00333FAA" w:rsidRDefault="00333FAA" w:rsidP="00333FAA"/>
    <w:p w:rsidR="00333FAA" w:rsidRPr="00480518" w:rsidRDefault="00333FAA" w:rsidP="00333FAA">
      <w:pPr>
        <w:pStyle w:val="Infotext"/>
        <w:rPr>
          <w:b/>
        </w:rPr>
      </w:pPr>
      <w:r w:rsidRPr="004E47FC">
        <w:rPr>
          <w:b/>
        </w:rPr>
        <w:t xml:space="preserve">Background Papers: </w:t>
      </w:r>
      <w:r w:rsidR="005808FB">
        <w:rPr>
          <w:b/>
        </w:rPr>
        <w:t xml:space="preserve"> </w:t>
      </w:r>
      <w:hyperlink r:id="rId16" w:history="1">
        <w:r w:rsidR="00566F24">
          <w:rPr>
            <w:rStyle w:val="Hyperlink"/>
            <w:b/>
          </w:rPr>
          <w:t>Community Infrastructure Levy (CIL)- Proposed Allocations Process report to Major Development Panel - 14th November 2017</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554"/>
        <w:gridCol w:w="4259"/>
      </w:tblGrid>
      <w:tr w:rsidR="00333FAA">
        <w:trPr>
          <w:trHeight w:val="965"/>
        </w:trPr>
        <w:tc>
          <w:tcPr>
            <w:tcW w:w="2210" w:type="pct"/>
            <w:tcBorders>
              <w:right w:val="nil"/>
            </w:tcBorders>
          </w:tcPr>
          <w:p w:rsidR="00333FAA" w:rsidRPr="00C64714" w:rsidRDefault="00333FAA" w:rsidP="00A53B04">
            <w:pPr>
              <w:pStyle w:val="Infotext"/>
              <w:rPr>
                <w:rFonts w:ascii="Arial Black" w:hAnsi="Arial Black"/>
                <w:sz w:val="24"/>
                <w:szCs w:val="24"/>
              </w:rPr>
            </w:pPr>
            <w:r w:rsidRPr="00C64714">
              <w:rPr>
                <w:rFonts w:ascii="Arial Black" w:hAnsi="Arial Black"/>
                <w:sz w:val="24"/>
                <w:szCs w:val="24"/>
              </w:rPr>
              <w:t>Call-In Waived by the Chairman of Overview and Scrutiny Committee</w:t>
            </w:r>
          </w:p>
          <w:p w:rsidR="00333FAA" w:rsidRDefault="00333FAA" w:rsidP="00A53B04">
            <w:pPr>
              <w:pStyle w:val="Infotext"/>
            </w:pPr>
          </w:p>
          <w:p w:rsidR="00333FAA" w:rsidRPr="003D78F6" w:rsidRDefault="00333FAA" w:rsidP="00A53B04">
            <w:pPr>
              <w:pStyle w:val="Infotext"/>
              <w:rPr>
                <w:i/>
                <w:sz w:val="24"/>
                <w:szCs w:val="24"/>
              </w:rPr>
            </w:pPr>
            <w:r w:rsidRPr="003D78F6">
              <w:rPr>
                <w:i/>
                <w:sz w:val="24"/>
                <w:szCs w:val="24"/>
              </w:rPr>
              <w:t>(for completion by Democratic Services staff only)</w:t>
            </w:r>
          </w:p>
          <w:p w:rsidR="00333FAA" w:rsidRDefault="00333FAA" w:rsidP="00A53B04">
            <w:pPr>
              <w:pStyle w:val="Infotext"/>
            </w:pPr>
          </w:p>
        </w:tc>
        <w:tc>
          <w:tcPr>
            <w:tcW w:w="321" w:type="pct"/>
            <w:tcBorders>
              <w:left w:val="nil"/>
              <w:right w:val="nil"/>
            </w:tcBorders>
          </w:tcPr>
          <w:p w:rsidR="00333FAA" w:rsidRDefault="00333FAA" w:rsidP="00A53B04">
            <w:pPr>
              <w:pStyle w:val="Infotext"/>
            </w:pPr>
          </w:p>
        </w:tc>
        <w:tc>
          <w:tcPr>
            <w:tcW w:w="2469" w:type="pct"/>
            <w:tcBorders>
              <w:left w:val="nil"/>
            </w:tcBorders>
          </w:tcPr>
          <w:p w:rsidR="00333FAA" w:rsidRDefault="00333FAA" w:rsidP="00A53B04">
            <w:pPr>
              <w:pStyle w:val="Infotext"/>
            </w:pPr>
          </w:p>
          <w:p w:rsidR="00333FAA" w:rsidRDefault="00333FAA" w:rsidP="00A53B04">
            <w:pPr>
              <w:pStyle w:val="Infotext"/>
            </w:pPr>
            <w:r w:rsidRPr="003D78F6">
              <w:rPr>
                <w:b/>
              </w:rPr>
              <w:t>YES/ NO / NOT APPLICABLE</w:t>
            </w:r>
            <w:r>
              <w:t>*</w:t>
            </w:r>
          </w:p>
          <w:p w:rsidR="00333FAA" w:rsidRDefault="00333FAA" w:rsidP="00A53B04">
            <w:pPr>
              <w:pStyle w:val="Infotext"/>
            </w:pPr>
          </w:p>
          <w:p w:rsidR="00333FAA" w:rsidRDefault="00333FAA" w:rsidP="00A53B04">
            <w:pPr>
              <w:pStyle w:val="Infotext"/>
            </w:pPr>
          </w:p>
          <w:p w:rsidR="00333FAA" w:rsidRDefault="00333FAA" w:rsidP="00A53B04">
            <w:pPr>
              <w:pStyle w:val="Infotext"/>
              <w:rPr>
                <w:i/>
                <w:sz w:val="24"/>
                <w:szCs w:val="24"/>
              </w:rPr>
            </w:pPr>
            <w:r w:rsidRPr="003D78F6">
              <w:rPr>
                <w:i/>
                <w:sz w:val="24"/>
                <w:szCs w:val="24"/>
              </w:rPr>
              <w:t>*  Delete as appropriate</w:t>
            </w:r>
          </w:p>
          <w:p w:rsidR="00333FAA" w:rsidRPr="003D78F6" w:rsidRDefault="00333FAA" w:rsidP="00A53B04">
            <w:pPr>
              <w:pStyle w:val="Infotext"/>
              <w:ind w:left="173"/>
              <w:rPr>
                <w:i/>
                <w:sz w:val="24"/>
                <w:szCs w:val="24"/>
              </w:rPr>
            </w:pPr>
            <w:r>
              <w:rPr>
                <w:rFonts w:cs="Arial"/>
                <w:i/>
                <w:sz w:val="24"/>
                <w:szCs w:val="24"/>
              </w:rPr>
              <w:t>I</w:t>
            </w:r>
            <w:r w:rsidRPr="0052010E">
              <w:rPr>
                <w:rFonts w:cs="Arial"/>
                <w:i/>
                <w:sz w:val="24"/>
                <w:szCs w:val="24"/>
                <w:lang w:eastAsia="en-GB"/>
              </w:rPr>
              <w:t>f No, set out why the decision is urgent with reference to 4b - Rule 47 of the Constitution</w:t>
            </w:r>
            <w:r>
              <w:rPr>
                <w:rFonts w:cs="Arial"/>
                <w:i/>
                <w:sz w:val="24"/>
                <w:szCs w:val="24"/>
                <w:lang w:eastAsia="en-GB"/>
              </w:rPr>
              <w:t>.</w:t>
            </w:r>
          </w:p>
        </w:tc>
      </w:tr>
    </w:tbl>
    <w:p w:rsidR="00333FAA" w:rsidRDefault="00333FAA" w:rsidP="004F1F58">
      <w:pPr>
        <w:pStyle w:val="Infotext"/>
      </w:pPr>
    </w:p>
    <w:sectPr w:rsidR="00333FAA" w:rsidSect="000E638E">
      <w:headerReference w:type="default" r:id="rId17"/>
      <w:headerReference w:type="first" r:id="rId18"/>
      <w:footerReference w:type="first" r:id="rId19"/>
      <w:pgSz w:w="11909" w:h="16834" w:code="9"/>
      <w:pgMar w:top="720" w:right="1800" w:bottom="1152" w:left="1701"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5D7" w:rsidRDefault="003005D7">
      <w:r>
        <w:separator/>
      </w:r>
    </w:p>
  </w:endnote>
  <w:endnote w:type="continuationSeparator" w:id="0">
    <w:p w:rsidR="003005D7" w:rsidRDefault="0030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D7" w:rsidRPr="008C69F5" w:rsidRDefault="003005D7" w:rsidP="00A53B04">
    <w:pPr>
      <w:pStyle w:val="Footer"/>
      <w:jc w:val="right"/>
      <w:rPr>
        <w:rFonts w:cs="Arial"/>
        <w:sz w:val="16"/>
        <w:szCs w:val="16"/>
      </w:rPr>
    </w:pPr>
    <w:r w:rsidRPr="00A22839">
      <w:rPr>
        <w:rFonts w:cs="Arial"/>
        <w:sz w:val="16"/>
        <w:szCs w:val="16"/>
      </w:rPr>
      <w:fldChar w:fldCharType="begin"/>
    </w:r>
    <w:r w:rsidRPr="00A22839">
      <w:rPr>
        <w:rFonts w:cs="Arial"/>
        <w:sz w:val="16"/>
        <w:szCs w:val="16"/>
      </w:rPr>
      <w:instrText xml:space="preserve"> FILENAME \p </w:instrText>
    </w:r>
    <w:r w:rsidRPr="00A22839">
      <w:rPr>
        <w:rFonts w:cs="Arial"/>
        <w:sz w:val="16"/>
        <w:szCs w:val="16"/>
      </w:rPr>
      <w:fldChar w:fldCharType="separate"/>
    </w:r>
    <w:r w:rsidR="00AD0694">
      <w:rPr>
        <w:rFonts w:cs="Arial"/>
        <w:noProof/>
        <w:sz w:val="16"/>
        <w:szCs w:val="16"/>
      </w:rPr>
      <w:t>G:\1 Public\Capital programme\2019-20 to 2021-22\December Cabinet\Final report\Final  Draft Capital Programme Dec 2018 Cabinet no track changes.docx</w:t>
    </w:r>
    <w:r w:rsidRPr="00A2283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5D7" w:rsidRDefault="003005D7">
      <w:r>
        <w:separator/>
      </w:r>
    </w:p>
  </w:footnote>
  <w:footnote w:type="continuationSeparator" w:id="0">
    <w:p w:rsidR="003005D7" w:rsidRDefault="0030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D7" w:rsidRDefault="00300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5D7" w:rsidRDefault="00300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A1B"/>
    <w:multiLevelType w:val="hybridMultilevel"/>
    <w:tmpl w:val="C8C4AC0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A2A5C"/>
    <w:multiLevelType w:val="hybridMultilevel"/>
    <w:tmpl w:val="87A0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73167EC"/>
    <w:multiLevelType w:val="hybridMultilevel"/>
    <w:tmpl w:val="E42E5C32"/>
    <w:lvl w:ilvl="0" w:tplc="EE4097F2">
      <w:start w:val="1"/>
      <w:numFmt w:val="decimal"/>
      <w:lvlText w:val="%1."/>
      <w:lvlJc w:val="left"/>
      <w:pPr>
        <w:tabs>
          <w:tab w:val="num" w:pos="360"/>
        </w:tabs>
        <w:ind w:left="360" w:hanging="360"/>
      </w:pPr>
      <w:rPr>
        <w:rFonts w:cs="Times New Roman" w:hint="default"/>
        <w:b w:val="0"/>
        <w:i w:val="0"/>
        <w:color w:val="auto"/>
        <w:sz w:val="24"/>
        <w:szCs w:val="24"/>
      </w:rPr>
    </w:lvl>
    <w:lvl w:ilvl="1" w:tplc="918AD572">
      <w:start w:val="1"/>
      <w:numFmt w:val="bullet"/>
      <w:lvlText w:val=""/>
      <w:lvlJc w:val="left"/>
      <w:pPr>
        <w:tabs>
          <w:tab w:val="num" w:pos="1440"/>
        </w:tabs>
        <w:ind w:left="1440" w:hanging="360"/>
      </w:pPr>
      <w:rPr>
        <w:rFonts w:ascii="Symbol" w:hAnsi="Symbol" w:hint="default"/>
        <w:b w:val="0"/>
      </w:rPr>
    </w:lvl>
    <w:lvl w:ilvl="2" w:tplc="B166380C">
      <w:start w:val="1"/>
      <w:numFmt w:val="decimal"/>
      <w:lvlText w:val="%3."/>
      <w:lvlJc w:val="left"/>
      <w:pPr>
        <w:tabs>
          <w:tab w:val="num" w:pos="720"/>
        </w:tabs>
        <w:ind w:left="720" w:hanging="360"/>
      </w:pPr>
      <w:rPr>
        <w:rFonts w:cs="Times New Roman" w:hint="default"/>
        <w:b w:val="0"/>
        <w:i w:val="0"/>
        <w:color w:val="auto"/>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FC3755"/>
    <w:multiLevelType w:val="hybridMultilevel"/>
    <w:tmpl w:val="0944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3E32E5"/>
    <w:multiLevelType w:val="hybridMultilevel"/>
    <w:tmpl w:val="56206A2E"/>
    <w:lvl w:ilvl="0" w:tplc="9F50510A">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908"/>
        </w:tabs>
        <w:ind w:left="2908" w:hanging="360"/>
      </w:pPr>
      <w:rPr>
        <w:rFonts w:ascii="Courier New" w:hAnsi="Courier New" w:hint="default"/>
      </w:rPr>
    </w:lvl>
    <w:lvl w:ilvl="2" w:tplc="08090005">
      <w:start w:val="1"/>
      <w:numFmt w:val="bullet"/>
      <w:lvlText w:val=""/>
      <w:lvlJc w:val="left"/>
      <w:pPr>
        <w:tabs>
          <w:tab w:val="num" w:pos="3628"/>
        </w:tabs>
        <w:ind w:left="3628" w:hanging="360"/>
      </w:pPr>
      <w:rPr>
        <w:rFonts w:ascii="Wingdings" w:hAnsi="Wingdings" w:hint="default"/>
      </w:rPr>
    </w:lvl>
    <w:lvl w:ilvl="3" w:tplc="08090001">
      <w:start w:val="1"/>
      <w:numFmt w:val="bullet"/>
      <w:lvlText w:val=""/>
      <w:lvlJc w:val="left"/>
      <w:pPr>
        <w:tabs>
          <w:tab w:val="num" w:pos="4348"/>
        </w:tabs>
        <w:ind w:left="4348" w:hanging="360"/>
      </w:pPr>
      <w:rPr>
        <w:rFonts w:ascii="Symbol" w:hAnsi="Symbol" w:hint="default"/>
      </w:rPr>
    </w:lvl>
    <w:lvl w:ilvl="4" w:tplc="08090003">
      <w:start w:val="1"/>
      <w:numFmt w:val="bullet"/>
      <w:lvlText w:val="o"/>
      <w:lvlJc w:val="left"/>
      <w:pPr>
        <w:tabs>
          <w:tab w:val="num" w:pos="5068"/>
        </w:tabs>
        <w:ind w:left="5068" w:hanging="360"/>
      </w:pPr>
      <w:rPr>
        <w:rFonts w:ascii="Courier New" w:hAnsi="Courier New" w:hint="default"/>
      </w:rPr>
    </w:lvl>
    <w:lvl w:ilvl="5" w:tplc="08090005">
      <w:start w:val="1"/>
      <w:numFmt w:val="bullet"/>
      <w:lvlText w:val=""/>
      <w:lvlJc w:val="left"/>
      <w:pPr>
        <w:tabs>
          <w:tab w:val="num" w:pos="5788"/>
        </w:tabs>
        <w:ind w:left="5788" w:hanging="360"/>
      </w:pPr>
      <w:rPr>
        <w:rFonts w:ascii="Wingdings" w:hAnsi="Wingdings" w:hint="default"/>
      </w:rPr>
    </w:lvl>
    <w:lvl w:ilvl="6" w:tplc="08090001">
      <w:start w:val="1"/>
      <w:numFmt w:val="bullet"/>
      <w:lvlText w:val=""/>
      <w:lvlJc w:val="left"/>
      <w:pPr>
        <w:tabs>
          <w:tab w:val="num" w:pos="6508"/>
        </w:tabs>
        <w:ind w:left="6508" w:hanging="360"/>
      </w:pPr>
      <w:rPr>
        <w:rFonts w:ascii="Symbol" w:hAnsi="Symbol" w:hint="default"/>
      </w:rPr>
    </w:lvl>
    <w:lvl w:ilvl="7" w:tplc="08090003">
      <w:start w:val="1"/>
      <w:numFmt w:val="bullet"/>
      <w:lvlText w:val="o"/>
      <w:lvlJc w:val="left"/>
      <w:pPr>
        <w:tabs>
          <w:tab w:val="num" w:pos="7228"/>
        </w:tabs>
        <w:ind w:left="7228" w:hanging="360"/>
      </w:pPr>
      <w:rPr>
        <w:rFonts w:ascii="Courier New" w:hAnsi="Courier New" w:hint="default"/>
      </w:rPr>
    </w:lvl>
    <w:lvl w:ilvl="8" w:tplc="08090005">
      <w:start w:val="1"/>
      <w:numFmt w:val="bullet"/>
      <w:lvlText w:val=""/>
      <w:lvlJc w:val="left"/>
      <w:pPr>
        <w:tabs>
          <w:tab w:val="num" w:pos="7948"/>
        </w:tabs>
        <w:ind w:left="7948" w:hanging="360"/>
      </w:pPr>
      <w:rPr>
        <w:rFonts w:ascii="Wingdings" w:hAnsi="Wingdings" w:hint="default"/>
      </w:rPr>
    </w:lvl>
  </w:abstractNum>
  <w:abstractNum w:abstractNumId="1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070FE4"/>
    <w:multiLevelType w:val="hybridMultilevel"/>
    <w:tmpl w:val="D91221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C4735A"/>
    <w:multiLevelType w:val="hybridMultilevel"/>
    <w:tmpl w:val="C66CC31C"/>
    <w:lvl w:ilvl="0" w:tplc="E6E09C50">
      <w:start w:val="5"/>
      <w:numFmt w:val="decimal"/>
      <w:lvlText w:val="%1."/>
      <w:lvlJc w:val="left"/>
      <w:pPr>
        <w:tabs>
          <w:tab w:val="num" w:pos="360"/>
        </w:tabs>
        <w:ind w:left="360" w:hanging="360"/>
      </w:pPr>
      <w:rPr>
        <w:rFonts w:cs="Times New Roman" w:hint="default"/>
      </w:rPr>
    </w:lvl>
    <w:lvl w:ilvl="1" w:tplc="918AD572">
      <w:start w:val="1"/>
      <w:numFmt w:val="bullet"/>
      <w:lvlText w:val=""/>
      <w:lvlJc w:val="left"/>
      <w:pPr>
        <w:tabs>
          <w:tab w:val="num" w:pos="1080"/>
        </w:tabs>
        <w:ind w:left="1080" w:hanging="360"/>
      </w:pPr>
      <w:rPr>
        <w:rFonts w:ascii="Symbol" w:hAnsi="Symbol" w:hint="default"/>
      </w:rPr>
    </w:lvl>
    <w:lvl w:ilvl="2" w:tplc="BE2063CE">
      <w:start w:val="1"/>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944E5D"/>
    <w:multiLevelType w:val="hybridMultilevel"/>
    <w:tmpl w:val="9E34C004"/>
    <w:lvl w:ilvl="0" w:tplc="0809000F">
      <w:start w:val="1"/>
      <w:numFmt w:val="decimal"/>
      <w:lvlText w:val="%1."/>
      <w:lvlJc w:val="left"/>
      <w:pPr>
        <w:tabs>
          <w:tab w:val="num" w:pos="720"/>
        </w:tabs>
        <w:ind w:left="720" w:hanging="360"/>
      </w:pPr>
      <w:rPr>
        <w:rFonts w:cs="Times New Roman" w:hint="default"/>
      </w:rPr>
    </w:lvl>
    <w:lvl w:ilvl="1" w:tplc="D9B0EFA2">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37A86152"/>
    <w:multiLevelType w:val="hybridMultilevel"/>
    <w:tmpl w:val="2AE86034"/>
    <w:lvl w:ilvl="0" w:tplc="29CCC330">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9E25B42"/>
    <w:multiLevelType w:val="hybridMultilevel"/>
    <w:tmpl w:val="4738AA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022409"/>
    <w:multiLevelType w:val="hybridMultilevel"/>
    <w:tmpl w:val="165050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34E2E1A"/>
    <w:multiLevelType w:val="hybridMultilevel"/>
    <w:tmpl w:val="78A488C8"/>
    <w:lvl w:ilvl="0" w:tplc="A6C2E10E">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1">
    <w:nsid w:val="54E1149C"/>
    <w:multiLevelType w:val="hybridMultilevel"/>
    <w:tmpl w:val="CEDC4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6A687074"/>
    <w:multiLevelType w:val="hybridMultilevel"/>
    <w:tmpl w:val="BE3816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6">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1D7F85"/>
    <w:multiLevelType w:val="hybridMultilevel"/>
    <w:tmpl w:val="5636CC92"/>
    <w:lvl w:ilvl="0" w:tplc="3ED293E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C120AFF"/>
    <w:multiLevelType w:val="hybridMultilevel"/>
    <w:tmpl w:val="8A1CF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4"/>
  </w:num>
  <w:num w:numId="3">
    <w:abstractNumId w:val="12"/>
  </w:num>
  <w:num w:numId="4">
    <w:abstractNumId w:val="40"/>
  </w:num>
  <w:num w:numId="5">
    <w:abstractNumId w:val="33"/>
  </w:num>
  <w:num w:numId="6">
    <w:abstractNumId w:val="16"/>
  </w:num>
  <w:num w:numId="7">
    <w:abstractNumId w:val="2"/>
  </w:num>
  <w:num w:numId="8">
    <w:abstractNumId w:val="25"/>
  </w:num>
  <w:num w:numId="9">
    <w:abstractNumId w:val="26"/>
  </w:num>
  <w:num w:numId="10">
    <w:abstractNumId w:val="37"/>
  </w:num>
  <w:num w:numId="11">
    <w:abstractNumId w:val="10"/>
  </w:num>
  <w:num w:numId="12">
    <w:abstractNumId w:val="23"/>
  </w:num>
  <w:num w:numId="13">
    <w:abstractNumId w:val="24"/>
  </w:num>
  <w:num w:numId="14">
    <w:abstractNumId w:val="11"/>
  </w:num>
  <w:num w:numId="15">
    <w:abstractNumId w:val="29"/>
  </w:num>
  <w:num w:numId="16">
    <w:abstractNumId w:val="14"/>
  </w:num>
  <w:num w:numId="17">
    <w:abstractNumId w:val="32"/>
  </w:num>
  <w:num w:numId="18">
    <w:abstractNumId w:val="19"/>
  </w:num>
  <w:num w:numId="19">
    <w:abstractNumId w:val="36"/>
  </w:num>
  <w:num w:numId="20">
    <w:abstractNumId w:val="4"/>
  </w:num>
  <w:num w:numId="21">
    <w:abstractNumId w:val="1"/>
  </w:num>
  <w:num w:numId="22">
    <w:abstractNumId w:val="5"/>
  </w:num>
  <w:num w:numId="23">
    <w:abstractNumId w:val="28"/>
  </w:num>
  <w:num w:numId="24">
    <w:abstractNumId w:val="7"/>
  </w:num>
  <w:num w:numId="25">
    <w:abstractNumId w:val="17"/>
  </w:num>
  <w:num w:numId="26">
    <w:abstractNumId w:val="0"/>
  </w:num>
  <w:num w:numId="27">
    <w:abstractNumId w:val="6"/>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9"/>
  </w:num>
  <w:num w:numId="32">
    <w:abstractNumId w:val="39"/>
  </w:num>
  <w:num w:numId="3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15"/>
  </w:num>
  <w:num w:numId="39">
    <w:abstractNumId w:val="2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27/11/2015 17:26"/>
  </w:docVars>
  <w:rsids>
    <w:rsidRoot w:val="00333FAA"/>
    <w:rsid w:val="0000089B"/>
    <w:rsid w:val="00012D4E"/>
    <w:rsid w:val="0001568D"/>
    <w:rsid w:val="0004029A"/>
    <w:rsid w:val="00040D5B"/>
    <w:rsid w:val="000429FF"/>
    <w:rsid w:val="00046DFF"/>
    <w:rsid w:val="0006034E"/>
    <w:rsid w:val="000603F8"/>
    <w:rsid w:val="00063783"/>
    <w:rsid w:val="00072057"/>
    <w:rsid w:val="00072413"/>
    <w:rsid w:val="00073765"/>
    <w:rsid w:val="00081B71"/>
    <w:rsid w:val="0008612D"/>
    <w:rsid w:val="000864E7"/>
    <w:rsid w:val="00096764"/>
    <w:rsid w:val="000B7580"/>
    <w:rsid w:val="000B788F"/>
    <w:rsid w:val="000C14C9"/>
    <w:rsid w:val="000C1C72"/>
    <w:rsid w:val="000D1B48"/>
    <w:rsid w:val="000D1EBB"/>
    <w:rsid w:val="000D2FDD"/>
    <w:rsid w:val="000D4DCF"/>
    <w:rsid w:val="000E638E"/>
    <w:rsid w:val="000F0E6F"/>
    <w:rsid w:val="00105B2C"/>
    <w:rsid w:val="001161E4"/>
    <w:rsid w:val="00125A26"/>
    <w:rsid w:val="0015448F"/>
    <w:rsid w:val="001551D4"/>
    <w:rsid w:val="0017619C"/>
    <w:rsid w:val="001840D2"/>
    <w:rsid w:val="001931D8"/>
    <w:rsid w:val="001966D7"/>
    <w:rsid w:val="001A1572"/>
    <w:rsid w:val="001A177F"/>
    <w:rsid w:val="001A6A6D"/>
    <w:rsid w:val="001B7F07"/>
    <w:rsid w:val="001C4D2E"/>
    <w:rsid w:val="001C7E35"/>
    <w:rsid w:val="001D438F"/>
    <w:rsid w:val="001E0DA0"/>
    <w:rsid w:val="001E3C06"/>
    <w:rsid w:val="001E441E"/>
    <w:rsid w:val="001F0BE9"/>
    <w:rsid w:val="001F1868"/>
    <w:rsid w:val="001F44EC"/>
    <w:rsid w:val="00202D79"/>
    <w:rsid w:val="00205D2F"/>
    <w:rsid w:val="00210415"/>
    <w:rsid w:val="002138BE"/>
    <w:rsid w:val="00215E8F"/>
    <w:rsid w:val="0023468E"/>
    <w:rsid w:val="002478C4"/>
    <w:rsid w:val="0025315D"/>
    <w:rsid w:val="002548D1"/>
    <w:rsid w:val="00261477"/>
    <w:rsid w:val="002640D2"/>
    <w:rsid w:val="00272CC5"/>
    <w:rsid w:val="0028019B"/>
    <w:rsid w:val="0028164B"/>
    <w:rsid w:val="00285003"/>
    <w:rsid w:val="00296AE6"/>
    <w:rsid w:val="002A4BBF"/>
    <w:rsid w:val="002B54A6"/>
    <w:rsid w:val="002E11D9"/>
    <w:rsid w:val="002F31B1"/>
    <w:rsid w:val="002F3EE9"/>
    <w:rsid w:val="002F7710"/>
    <w:rsid w:val="003005D7"/>
    <w:rsid w:val="00300D7F"/>
    <w:rsid w:val="00311458"/>
    <w:rsid w:val="00315E65"/>
    <w:rsid w:val="00333FAA"/>
    <w:rsid w:val="003355D7"/>
    <w:rsid w:val="0036201C"/>
    <w:rsid w:val="00365F4B"/>
    <w:rsid w:val="00373D62"/>
    <w:rsid w:val="003744D9"/>
    <w:rsid w:val="003856CD"/>
    <w:rsid w:val="00386C14"/>
    <w:rsid w:val="00390AEE"/>
    <w:rsid w:val="00395BE1"/>
    <w:rsid w:val="003B44AD"/>
    <w:rsid w:val="003C7C12"/>
    <w:rsid w:val="003D609A"/>
    <w:rsid w:val="003F3E80"/>
    <w:rsid w:val="00403B00"/>
    <w:rsid w:val="004076C8"/>
    <w:rsid w:val="00421A4C"/>
    <w:rsid w:val="00432899"/>
    <w:rsid w:val="004363F7"/>
    <w:rsid w:val="00437C6B"/>
    <w:rsid w:val="00461E22"/>
    <w:rsid w:val="00471B89"/>
    <w:rsid w:val="00471C1F"/>
    <w:rsid w:val="00474D7D"/>
    <w:rsid w:val="00480518"/>
    <w:rsid w:val="00490D23"/>
    <w:rsid w:val="004A7399"/>
    <w:rsid w:val="004A76E0"/>
    <w:rsid w:val="004C0246"/>
    <w:rsid w:val="004D2DA0"/>
    <w:rsid w:val="004E14A4"/>
    <w:rsid w:val="004E72BB"/>
    <w:rsid w:val="004F1F58"/>
    <w:rsid w:val="005145BB"/>
    <w:rsid w:val="005354D0"/>
    <w:rsid w:val="0054590F"/>
    <w:rsid w:val="00547CFA"/>
    <w:rsid w:val="00557940"/>
    <w:rsid w:val="005645A7"/>
    <w:rsid w:val="00566EB8"/>
    <w:rsid w:val="00566F24"/>
    <w:rsid w:val="005718B5"/>
    <w:rsid w:val="00576CCD"/>
    <w:rsid w:val="005808FB"/>
    <w:rsid w:val="0058224A"/>
    <w:rsid w:val="005850FD"/>
    <w:rsid w:val="005867D6"/>
    <w:rsid w:val="005A0FFD"/>
    <w:rsid w:val="005A7232"/>
    <w:rsid w:val="005A7ABA"/>
    <w:rsid w:val="005B17A9"/>
    <w:rsid w:val="005B1B67"/>
    <w:rsid w:val="005B32A5"/>
    <w:rsid w:val="005B3F67"/>
    <w:rsid w:val="005B5926"/>
    <w:rsid w:val="005D6EF5"/>
    <w:rsid w:val="005E1647"/>
    <w:rsid w:val="005E3A10"/>
    <w:rsid w:val="005E7509"/>
    <w:rsid w:val="005F297C"/>
    <w:rsid w:val="006042E5"/>
    <w:rsid w:val="00605ED0"/>
    <w:rsid w:val="00627675"/>
    <w:rsid w:val="006503B0"/>
    <w:rsid w:val="00655044"/>
    <w:rsid w:val="00662C0B"/>
    <w:rsid w:val="00670F17"/>
    <w:rsid w:val="006716D2"/>
    <w:rsid w:val="00693072"/>
    <w:rsid w:val="00696A83"/>
    <w:rsid w:val="006A158C"/>
    <w:rsid w:val="006A7CB2"/>
    <w:rsid w:val="006C27B3"/>
    <w:rsid w:val="006D68FB"/>
    <w:rsid w:val="006F057C"/>
    <w:rsid w:val="006F22DA"/>
    <w:rsid w:val="006F2EB3"/>
    <w:rsid w:val="006F4A1A"/>
    <w:rsid w:val="006F5268"/>
    <w:rsid w:val="006F57C2"/>
    <w:rsid w:val="007010E5"/>
    <w:rsid w:val="00707E76"/>
    <w:rsid w:val="00714BEE"/>
    <w:rsid w:val="00721215"/>
    <w:rsid w:val="00723A07"/>
    <w:rsid w:val="007510B9"/>
    <w:rsid w:val="00781EF2"/>
    <w:rsid w:val="007B23FC"/>
    <w:rsid w:val="007C120B"/>
    <w:rsid w:val="007C49E5"/>
    <w:rsid w:val="007D0C1D"/>
    <w:rsid w:val="007D4DBF"/>
    <w:rsid w:val="007E4732"/>
    <w:rsid w:val="007F004E"/>
    <w:rsid w:val="007F1122"/>
    <w:rsid w:val="007F4BDA"/>
    <w:rsid w:val="00812901"/>
    <w:rsid w:val="00812ECD"/>
    <w:rsid w:val="00817270"/>
    <w:rsid w:val="00826B9A"/>
    <w:rsid w:val="00835C20"/>
    <w:rsid w:val="008420A0"/>
    <w:rsid w:val="00845E35"/>
    <w:rsid w:val="008611E5"/>
    <w:rsid w:val="008648EE"/>
    <w:rsid w:val="008916DC"/>
    <w:rsid w:val="008B424C"/>
    <w:rsid w:val="008D49CA"/>
    <w:rsid w:val="008D78F9"/>
    <w:rsid w:val="008E2023"/>
    <w:rsid w:val="008E223F"/>
    <w:rsid w:val="008E224D"/>
    <w:rsid w:val="00914951"/>
    <w:rsid w:val="009151D2"/>
    <w:rsid w:val="00917738"/>
    <w:rsid w:val="009248A8"/>
    <w:rsid w:val="009334A0"/>
    <w:rsid w:val="009336D7"/>
    <w:rsid w:val="00951BCB"/>
    <w:rsid w:val="00953CF4"/>
    <w:rsid w:val="009556DE"/>
    <w:rsid w:val="00962A6F"/>
    <w:rsid w:val="00977A30"/>
    <w:rsid w:val="00990E9C"/>
    <w:rsid w:val="009B160B"/>
    <w:rsid w:val="009D42A5"/>
    <w:rsid w:val="009D4BC8"/>
    <w:rsid w:val="009D5B8D"/>
    <w:rsid w:val="009D6D4F"/>
    <w:rsid w:val="009F5818"/>
    <w:rsid w:val="00A02D46"/>
    <w:rsid w:val="00A10143"/>
    <w:rsid w:val="00A20113"/>
    <w:rsid w:val="00A22839"/>
    <w:rsid w:val="00A26B10"/>
    <w:rsid w:val="00A3257F"/>
    <w:rsid w:val="00A33185"/>
    <w:rsid w:val="00A41570"/>
    <w:rsid w:val="00A50E50"/>
    <w:rsid w:val="00A53B04"/>
    <w:rsid w:val="00A53B9F"/>
    <w:rsid w:val="00A601DE"/>
    <w:rsid w:val="00A7271A"/>
    <w:rsid w:val="00A81FAE"/>
    <w:rsid w:val="00A82C85"/>
    <w:rsid w:val="00AA280B"/>
    <w:rsid w:val="00AA5479"/>
    <w:rsid w:val="00AA656F"/>
    <w:rsid w:val="00AB057C"/>
    <w:rsid w:val="00AB4880"/>
    <w:rsid w:val="00AB795F"/>
    <w:rsid w:val="00AC6312"/>
    <w:rsid w:val="00AD0694"/>
    <w:rsid w:val="00AD1C24"/>
    <w:rsid w:val="00AD4F8B"/>
    <w:rsid w:val="00AD6081"/>
    <w:rsid w:val="00B1160D"/>
    <w:rsid w:val="00B14937"/>
    <w:rsid w:val="00B16D25"/>
    <w:rsid w:val="00B17D40"/>
    <w:rsid w:val="00B20B40"/>
    <w:rsid w:val="00B335AC"/>
    <w:rsid w:val="00B37D69"/>
    <w:rsid w:val="00B4220B"/>
    <w:rsid w:val="00B444CE"/>
    <w:rsid w:val="00B44F1D"/>
    <w:rsid w:val="00B45955"/>
    <w:rsid w:val="00B53EFF"/>
    <w:rsid w:val="00B54AFA"/>
    <w:rsid w:val="00B57442"/>
    <w:rsid w:val="00B67C31"/>
    <w:rsid w:val="00B74BEB"/>
    <w:rsid w:val="00B772CA"/>
    <w:rsid w:val="00B804E8"/>
    <w:rsid w:val="00B9038B"/>
    <w:rsid w:val="00BB36D9"/>
    <w:rsid w:val="00BB5180"/>
    <w:rsid w:val="00BC19E9"/>
    <w:rsid w:val="00BC206C"/>
    <w:rsid w:val="00BD2A1F"/>
    <w:rsid w:val="00BD73F2"/>
    <w:rsid w:val="00C00C0D"/>
    <w:rsid w:val="00C01297"/>
    <w:rsid w:val="00C01A35"/>
    <w:rsid w:val="00C05994"/>
    <w:rsid w:val="00C333E5"/>
    <w:rsid w:val="00C3471E"/>
    <w:rsid w:val="00C4449F"/>
    <w:rsid w:val="00C50BDF"/>
    <w:rsid w:val="00C57267"/>
    <w:rsid w:val="00C609E9"/>
    <w:rsid w:val="00C64714"/>
    <w:rsid w:val="00C745C3"/>
    <w:rsid w:val="00C90DB3"/>
    <w:rsid w:val="00C9233F"/>
    <w:rsid w:val="00CA62F1"/>
    <w:rsid w:val="00CA7F5A"/>
    <w:rsid w:val="00CB371F"/>
    <w:rsid w:val="00CC690E"/>
    <w:rsid w:val="00CE2756"/>
    <w:rsid w:val="00CE3352"/>
    <w:rsid w:val="00CE724D"/>
    <w:rsid w:val="00CF0FC4"/>
    <w:rsid w:val="00CF6932"/>
    <w:rsid w:val="00CF75E9"/>
    <w:rsid w:val="00D14650"/>
    <w:rsid w:val="00D15CFA"/>
    <w:rsid w:val="00D27997"/>
    <w:rsid w:val="00D3162D"/>
    <w:rsid w:val="00D372BF"/>
    <w:rsid w:val="00D37F2F"/>
    <w:rsid w:val="00D434AC"/>
    <w:rsid w:val="00D47AA9"/>
    <w:rsid w:val="00D64D6B"/>
    <w:rsid w:val="00D71888"/>
    <w:rsid w:val="00D72D2D"/>
    <w:rsid w:val="00D835CF"/>
    <w:rsid w:val="00D851C2"/>
    <w:rsid w:val="00D90A37"/>
    <w:rsid w:val="00DA26FB"/>
    <w:rsid w:val="00DB0292"/>
    <w:rsid w:val="00DB6C3D"/>
    <w:rsid w:val="00DC5ACF"/>
    <w:rsid w:val="00DD2361"/>
    <w:rsid w:val="00DD5CA2"/>
    <w:rsid w:val="00DE6A36"/>
    <w:rsid w:val="00DE71D3"/>
    <w:rsid w:val="00DF08A0"/>
    <w:rsid w:val="00DF0973"/>
    <w:rsid w:val="00E21E6B"/>
    <w:rsid w:val="00E23647"/>
    <w:rsid w:val="00E25090"/>
    <w:rsid w:val="00E346B3"/>
    <w:rsid w:val="00E41365"/>
    <w:rsid w:val="00E45B3B"/>
    <w:rsid w:val="00E6003D"/>
    <w:rsid w:val="00E80B8B"/>
    <w:rsid w:val="00E821A4"/>
    <w:rsid w:val="00E8313E"/>
    <w:rsid w:val="00E84F43"/>
    <w:rsid w:val="00E856A8"/>
    <w:rsid w:val="00E90F74"/>
    <w:rsid w:val="00E91F9C"/>
    <w:rsid w:val="00E92F38"/>
    <w:rsid w:val="00EA216C"/>
    <w:rsid w:val="00EB0149"/>
    <w:rsid w:val="00EB5E57"/>
    <w:rsid w:val="00EB61E1"/>
    <w:rsid w:val="00EE6763"/>
    <w:rsid w:val="00F0366D"/>
    <w:rsid w:val="00F36169"/>
    <w:rsid w:val="00F40533"/>
    <w:rsid w:val="00F5649A"/>
    <w:rsid w:val="00F70007"/>
    <w:rsid w:val="00F82342"/>
    <w:rsid w:val="00F91AE4"/>
    <w:rsid w:val="00FA1D36"/>
    <w:rsid w:val="00FA2BD2"/>
    <w:rsid w:val="00FB1231"/>
    <w:rsid w:val="00FB51BC"/>
    <w:rsid w:val="00FC2CCF"/>
    <w:rsid w:val="00FD0305"/>
    <w:rsid w:val="00FE17E2"/>
    <w:rsid w:val="00FE40AF"/>
    <w:rsid w:val="00FE52A8"/>
    <w:rsid w:val="00FF3DB3"/>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character" w:customStyle="1" w:styleId="Heading2Char">
    <w:name w:val="Heading 2 Char"/>
    <w:basedOn w:val="DefaultParagraphFont"/>
    <w:link w:val="Heading2"/>
    <w:locked/>
    <w:rsid w:val="00105B2C"/>
    <w:rPr>
      <w:rFonts w:ascii="Arial" w:hAnsi="Arial" w:cs="Arial"/>
      <w:b/>
      <w:bCs/>
      <w:sz w:val="28"/>
      <w:szCs w:val="32"/>
      <w:lang w:eastAsia="en-US"/>
    </w:rPr>
  </w:style>
  <w:style w:type="paragraph" w:styleId="BodyTextIndent">
    <w:name w:val="Body Text Indent"/>
    <w:basedOn w:val="Normal"/>
    <w:link w:val="BodyTextIndentChar"/>
    <w:rsid w:val="00480518"/>
    <w:pPr>
      <w:spacing w:after="120"/>
      <w:ind w:left="283"/>
    </w:pPr>
  </w:style>
  <w:style w:type="character" w:customStyle="1" w:styleId="BodyTextIndentChar">
    <w:name w:val="Body Text Indent Char"/>
    <w:basedOn w:val="DefaultParagraphFont"/>
    <w:link w:val="BodyTextIndent"/>
    <w:rsid w:val="00480518"/>
    <w:rPr>
      <w:rFonts w:ascii="Arial" w:hAnsi="Arial"/>
      <w:sz w:val="24"/>
      <w:lang w:eastAsia="en-US"/>
    </w:rPr>
  </w:style>
  <w:style w:type="paragraph" w:styleId="ListParagraph">
    <w:name w:val="List Paragraph"/>
    <w:basedOn w:val="Normal"/>
    <w:uiPriority w:val="34"/>
    <w:qFormat/>
    <w:rsid w:val="00DF0973"/>
    <w:pPr>
      <w:ind w:left="720"/>
      <w:contextualSpacing/>
    </w:pPr>
  </w:style>
  <w:style w:type="paragraph" w:styleId="BalloonText">
    <w:name w:val="Balloon Text"/>
    <w:basedOn w:val="Normal"/>
    <w:link w:val="BalloonTextChar"/>
    <w:rsid w:val="001931D8"/>
    <w:rPr>
      <w:rFonts w:ascii="Tahoma" w:hAnsi="Tahoma" w:cs="Tahoma"/>
      <w:sz w:val="16"/>
      <w:szCs w:val="16"/>
    </w:rPr>
  </w:style>
  <w:style w:type="character" w:customStyle="1" w:styleId="BalloonTextChar">
    <w:name w:val="Balloon Text Char"/>
    <w:basedOn w:val="DefaultParagraphFont"/>
    <w:link w:val="BalloonText"/>
    <w:rsid w:val="001931D8"/>
    <w:rPr>
      <w:rFonts w:ascii="Tahoma" w:hAnsi="Tahoma" w:cs="Tahoma"/>
      <w:sz w:val="16"/>
      <w:szCs w:val="16"/>
      <w:lang w:eastAsia="en-US"/>
    </w:rPr>
  </w:style>
  <w:style w:type="character" w:styleId="CommentReference">
    <w:name w:val="annotation reference"/>
    <w:basedOn w:val="DefaultParagraphFont"/>
    <w:rsid w:val="006F57C2"/>
    <w:rPr>
      <w:sz w:val="16"/>
      <w:szCs w:val="16"/>
    </w:rPr>
  </w:style>
  <w:style w:type="paragraph" w:styleId="CommentText">
    <w:name w:val="annotation text"/>
    <w:basedOn w:val="Normal"/>
    <w:link w:val="CommentTextChar"/>
    <w:rsid w:val="006F57C2"/>
    <w:rPr>
      <w:sz w:val="20"/>
    </w:rPr>
  </w:style>
  <w:style w:type="character" w:customStyle="1" w:styleId="CommentTextChar">
    <w:name w:val="Comment Text Char"/>
    <w:basedOn w:val="DefaultParagraphFont"/>
    <w:link w:val="CommentText"/>
    <w:rsid w:val="006F57C2"/>
    <w:rPr>
      <w:rFonts w:ascii="Arial" w:hAnsi="Arial"/>
      <w:lang w:eastAsia="en-US"/>
    </w:rPr>
  </w:style>
  <w:style w:type="paragraph" w:styleId="CommentSubject">
    <w:name w:val="annotation subject"/>
    <w:basedOn w:val="CommentText"/>
    <w:next w:val="CommentText"/>
    <w:link w:val="CommentSubjectChar"/>
    <w:rsid w:val="006F57C2"/>
    <w:rPr>
      <w:b/>
      <w:bCs/>
    </w:rPr>
  </w:style>
  <w:style w:type="character" w:customStyle="1" w:styleId="CommentSubjectChar">
    <w:name w:val="Comment Subject Char"/>
    <w:basedOn w:val="CommentTextChar"/>
    <w:link w:val="CommentSubject"/>
    <w:rsid w:val="006F57C2"/>
    <w:rPr>
      <w:rFonts w:ascii="Arial" w:hAnsi="Arial"/>
      <w:b/>
      <w:bCs/>
      <w:lang w:eastAsia="en-US"/>
    </w:rPr>
  </w:style>
  <w:style w:type="paragraph" w:styleId="Revision">
    <w:name w:val="Revision"/>
    <w:hidden/>
    <w:uiPriority w:val="99"/>
    <w:semiHidden/>
    <w:rsid w:val="005A0FFD"/>
    <w:rPr>
      <w:rFonts w:ascii="Arial" w:hAnsi="Arial"/>
      <w:sz w:val="24"/>
      <w:lang w:eastAsia="en-US"/>
    </w:rPr>
  </w:style>
  <w:style w:type="paragraph" w:customStyle="1" w:styleId="CharCharCharChar0">
    <w:name w:val="Char Char Char Char"/>
    <w:basedOn w:val="Normal"/>
    <w:locked/>
    <w:rsid w:val="00D372BF"/>
    <w:pPr>
      <w:spacing w:after="160" w:line="240" w:lineRule="exact"/>
    </w:pPr>
    <w:rPr>
      <w:rFonts w:ascii="Verdana" w:hAnsi="Verdana"/>
      <w:sz w:val="20"/>
      <w:lang w:val="en-US"/>
    </w:rPr>
  </w:style>
  <w:style w:type="paragraph" w:customStyle="1" w:styleId="CharCharCharChar1">
    <w:name w:val="Char Char Char Char"/>
    <w:basedOn w:val="Normal"/>
    <w:locked/>
    <w:rsid w:val="00B16D25"/>
    <w:pPr>
      <w:spacing w:after="160" w:line="240" w:lineRule="exact"/>
    </w:pPr>
    <w:rPr>
      <w:rFonts w:ascii="Verdana" w:hAnsi="Verdana"/>
      <w:sz w:val="20"/>
      <w:lang w:val="en-US"/>
    </w:rPr>
  </w:style>
  <w:style w:type="paragraph" w:customStyle="1" w:styleId="CharCharCharChar2">
    <w:name w:val="Char Char Char Char"/>
    <w:basedOn w:val="Normal"/>
    <w:locked/>
    <w:rsid w:val="00CA62F1"/>
    <w:pPr>
      <w:spacing w:after="160" w:line="240" w:lineRule="exact"/>
    </w:pPr>
    <w:rPr>
      <w:rFonts w:ascii="Verdana" w:hAnsi="Verdan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0646">
      <w:bodyDiv w:val="1"/>
      <w:marLeft w:val="0"/>
      <w:marRight w:val="0"/>
      <w:marTop w:val="0"/>
      <w:marBottom w:val="0"/>
      <w:divBdr>
        <w:top w:val="none" w:sz="0" w:space="0" w:color="auto"/>
        <w:left w:val="none" w:sz="0" w:space="0" w:color="auto"/>
        <w:bottom w:val="none" w:sz="0" w:space="0" w:color="auto"/>
        <w:right w:val="none" w:sz="0" w:space="0" w:color="auto"/>
      </w:divBdr>
    </w:div>
    <w:div w:id="227963972">
      <w:bodyDiv w:val="1"/>
      <w:marLeft w:val="0"/>
      <w:marRight w:val="0"/>
      <w:marTop w:val="0"/>
      <w:marBottom w:val="0"/>
      <w:divBdr>
        <w:top w:val="none" w:sz="0" w:space="0" w:color="auto"/>
        <w:left w:val="none" w:sz="0" w:space="0" w:color="auto"/>
        <w:bottom w:val="none" w:sz="0" w:space="0" w:color="auto"/>
        <w:right w:val="none" w:sz="0" w:space="0" w:color="auto"/>
      </w:divBdr>
    </w:div>
    <w:div w:id="306132402">
      <w:bodyDiv w:val="1"/>
      <w:marLeft w:val="0"/>
      <w:marRight w:val="0"/>
      <w:marTop w:val="0"/>
      <w:marBottom w:val="0"/>
      <w:divBdr>
        <w:top w:val="none" w:sz="0" w:space="0" w:color="auto"/>
        <w:left w:val="none" w:sz="0" w:space="0" w:color="auto"/>
        <w:bottom w:val="none" w:sz="0" w:space="0" w:color="auto"/>
        <w:right w:val="none" w:sz="0" w:space="0" w:color="auto"/>
      </w:divBdr>
    </w:div>
    <w:div w:id="449932414">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5624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derngov:8080/documents/g64184/Public%20reports%20pack%20Tuesday%2014-Nov-2017%2019.30%20Major%20Developments%20Panel.pdf?T=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sharon.daniels@harrow.gov.uk"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BF015-8AB1-4557-8D73-97249463D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3781</Words>
  <Characters>19994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23728</CharactersWithSpaces>
  <SharedDoc>false</SharedDoc>
  <HLinks>
    <vt:vector size="12" baseType="variant">
      <vt:variant>
        <vt:i4>2556019</vt:i4>
      </vt:variant>
      <vt:variant>
        <vt:i4>3</vt:i4>
      </vt:variant>
      <vt:variant>
        <vt:i4>0</vt:i4>
      </vt:variant>
      <vt:variant>
        <vt:i4>5</vt:i4>
      </vt:variant>
      <vt:variant>
        <vt:lpwstr>http://harrowhub/info/200143/equality_and_diversity/1201/policies_and_legislation/8</vt:lpwstr>
      </vt:variant>
      <vt:variant>
        <vt:lpwstr/>
      </vt:variant>
      <vt:variant>
        <vt:i4>983110</vt:i4>
      </vt:variant>
      <vt:variant>
        <vt:i4>0</vt:i4>
      </vt:variant>
      <vt:variant>
        <vt:i4>0</vt:i4>
      </vt:variant>
      <vt:variant>
        <vt:i4>5</vt:i4>
      </vt:variant>
      <vt:variant>
        <vt:lpwstr>http://www.energysavingtrust.org.uk/nottingham/Nottingham-Declaration/Advice-for-Council-Services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sdaniels</cp:lastModifiedBy>
  <cp:revision>2</cp:revision>
  <cp:lastPrinted>2018-11-28T09:29:00Z</cp:lastPrinted>
  <dcterms:created xsi:type="dcterms:W3CDTF">2018-11-28T10:13:00Z</dcterms:created>
  <dcterms:modified xsi:type="dcterms:W3CDTF">2018-11-28T10:13:00Z</dcterms:modified>
</cp:coreProperties>
</file>